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ageBreakBefore w:val="0"/>
        <w:widowControl w:val="0"/>
        <w:kinsoku/>
        <w:wordWrap/>
        <w:overflowPunct/>
        <w:topLinePunct w:val="0"/>
        <w:autoSpaceDE/>
        <w:autoSpaceDN/>
        <w:bidi w:val="0"/>
        <w:adjustRightInd/>
        <w:snapToGrid/>
        <w:spacing w:line="560" w:lineRule="exact"/>
        <w:textAlignment w:val="auto"/>
        <w:rPr>
          <w:rFonts w:hint="eastAsia" w:ascii="黑体" w:hAnsi="黑体" w:eastAsia="黑体"/>
          <w:sz w:val="32"/>
          <w:lang w:val="en-US" w:eastAsia="zh-CN"/>
        </w:rPr>
      </w:pPr>
      <w:r>
        <w:rPr>
          <w:rFonts w:hint="eastAsia" w:ascii="黑体" w:hAnsi="黑体" w:eastAsia="黑体"/>
          <w:sz w:val="32"/>
        </w:rPr>
        <w:t>附件</w:t>
      </w:r>
      <w:r>
        <w:rPr>
          <w:rFonts w:hint="eastAsia" w:ascii="黑体" w:hAnsi="黑体" w:eastAsia="黑体"/>
          <w:sz w:val="32"/>
          <w:lang w:val="en-US" w:eastAsia="zh-CN"/>
        </w:rPr>
        <w:t>2</w:t>
      </w:r>
    </w:p>
    <w:p>
      <w:pPr>
        <w:pStyle w:val="2"/>
        <w:keepNext/>
        <w:keepLines/>
        <w:pageBreakBefore w:val="0"/>
        <w:widowControl w:val="0"/>
        <w:kinsoku/>
        <w:wordWrap/>
        <w:overflowPunct/>
        <w:topLinePunct w:val="0"/>
        <w:autoSpaceDE/>
        <w:autoSpaceDN/>
        <w:bidi w:val="0"/>
        <w:adjustRightInd/>
        <w:snapToGrid/>
        <w:spacing w:before="0" w:after="0" w:line="560" w:lineRule="exact"/>
        <w:textAlignment w:val="auto"/>
        <w:rPr>
          <w:lang w:val="en-US"/>
        </w:rPr>
      </w:pPr>
    </w:p>
    <w:p>
      <w:pPr>
        <w:spacing w:line="560" w:lineRule="exact"/>
        <w:jc w:val="center"/>
        <w:rPr>
          <w:rFonts w:hint="eastAsia" w:ascii="方正小标宋_GBK" w:hAnsi="方正小标宋_GBK" w:eastAsia="方正小标宋_GBK" w:cs="方正小标宋_GBK"/>
          <w:sz w:val="44"/>
          <w:szCs w:val="44"/>
        </w:rPr>
      </w:pPr>
      <w:r>
        <w:rPr>
          <w:rFonts w:hint="eastAsia" w:ascii="方正小标宋_GBK" w:hAnsi="方正小标宋_GBK" w:eastAsia="方正小标宋_GBK" w:cs="方正小标宋_GBK"/>
          <w:sz w:val="44"/>
          <w:szCs w:val="44"/>
          <w:lang w:eastAsia="zh-CN"/>
        </w:rPr>
        <w:t>自贸</w:t>
      </w:r>
      <w:r>
        <w:rPr>
          <w:rFonts w:hint="eastAsia" w:ascii="方正小标宋_GBK" w:hAnsi="方正小标宋_GBK" w:eastAsia="方正小标宋_GBK" w:cs="方正小标宋_GBK"/>
          <w:sz w:val="44"/>
          <w:szCs w:val="44"/>
          <w:lang w:val="en-US" w:eastAsia="zh-CN"/>
        </w:rPr>
        <w:t>试验</w:t>
      </w:r>
      <w:r>
        <w:rPr>
          <w:rFonts w:hint="eastAsia" w:ascii="方正小标宋_GBK" w:hAnsi="方正小标宋_GBK" w:eastAsia="方正小标宋_GBK" w:cs="方正小标宋_GBK"/>
          <w:sz w:val="44"/>
          <w:szCs w:val="44"/>
          <w:lang w:eastAsia="zh-CN"/>
        </w:rPr>
        <w:t>区绥芬河片区</w:t>
      </w:r>
      <w:r>
        <w:rPr>
          <w:rFonts w:hint="eastAsia" w:ascii="方正小标宋_GBK" w:hAnsi="方正小标宋_GBK" w:eastAsia="方正小标宋_GBK" w:cs="方正小标宋_GBK"/>
          <w:sz w:val="44"/>
          <w:szCs w:val="44"/>
        </w:rPr>
        <w:t>市场主体住所（经营场所）登记负面清单</w:t>
      </w:r>
    </w:p>
    <w:tbl>
      <w:tblPr>
        <w:tblStyle w:val="7"/>
        <w:tblpPr w:leftFromText="180" w:rightFromText="180" w:vertAnchor="text" w:horzAnchor="page" w:tblpX="1617" w:tblpY="76"/>
        <w:tblOverlap w:val="never"/>
        <w:tblW w:w="934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70"/>
        <w:gridCol w:w="5787"/>
        <w:gridCol w:w="30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5" w:hRule="atLeast"/>
        </w:trPr>
        <w:tc>
          <w:tcPr>
            <w:tcW w:w="470" w:type="dxa"/>
            <w:tcBorders>
              <w:top w:val="single" w:color="auto" w:sz="4" w:space="0"/>
              <w:left w:val="single" w:color="auto" w:sz="4" w:space="0"/>
              <w:bottom w:val="single" w:color="auto" w:sz="4" w:space="0"/>
              <w:right w:val="single" w:color="auto" w:sz="4" w:space="0"/>
            </w:tcBorders>
            <w:vAlign w:val="center"/>
          </w:tcPr>
          <w:p>
            <w:pPr>
              <w:spacing w:line="260" w:lineRule="exact"/>
              <w:ind w:firstLine="404" w:firstLineChars="200"/>
              <w:jc w:val="left"/>
              <w:rPr>
                <w:rFonts w:ascii="方正小标宋简体" w:eastAsia="方正小标宋简体"/>
                <w:kern w:val="32"/>
              </w:rPr>
            </w:pPr>
          </w:p>
        </w:tc>
        <w:tc>
          <w:tcPr>
            <w:tcW w:w="578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rPr>
                <w:rFonts w:ascii="黑体" w:hAnsi="黑体" w:eastAsia="黑体" w:cs="黑体"/>
                <w:b/>
                <w:bCs/>
                <w:kern w:val="32"/>
              </w:rPr>
            </w:pPr>
            <w:r>
              <w:rPr>
                <w:rFonts w:hint="eastAsia" w:ascii="黑体" w:hAnsi="黑体" w:eastAsia="黑体" w:cs="黑体"/>
                <w:b/>
                <w:bCs/>
                <w:kern w:val="32"/>
              </w:rPr>
              <w:t>类别</w:t>
            </w:r>
          </w:p>
        </w:tc>
        <w:tc>
          <w:tcPr>
            <w:tcW w:w="3091"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rPr>
                <w:rFonts w:ascii="黑体" w:hAnsi="黑体" w:eastAsia="黑体" w:cs="黑体"/>
                <w:b/>
                <w:bCs/>
                <w:kern w:val="32"/>
              </w:rPr>
            </w:pPr>
            <w:r>
              <w:rPr>
                <w:rFonts w:hint="eastAsia" w:ascii="黑体" w:hAnsi="黑体" w:eastAsia="黑体" w:cs="黑体"/>
                <w:b/>
                <w:bCs/>
                <w:kern w:val="32"/>
              </w:rPr>
              <w:t>依据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5" w:hRule="atLeast"/>
        </w:trPr>
        <w:tc>
          <w:tcPr>
            <w:tcW w:w="470"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eastAsia" w:ascii="宋体" w:hAnsi="宋体" w:eastAsia="宋体" w:cs="宋体"/>
                <w:kern w:val="32"/>
                <w:sz w:val="21"/>
                <w:szCs w:val="21"/>
                <w:lang w:eastAsia="zh-CN"/>
              </w:rPr>
            </w:pPr>
            <w:r>
              <w:rPr>
                <w:rFonts w:hint="eastAsia" w:ascii="宋体" w:hAnsi="宋体" w:eastAsia="宋体" w:cs="宋体"/>
                <w:kern w:val="32"/>
                <w:sz w:val="21"/>
                <w:szCs w:val="21"/>
                <w:lang w:val="en-US" w:eastAsia="zh-CN"/>
              </w:rPr>
              <w:t>1</w:t>
            </w:r>
          </w:p>
        </w:tc>
        <w:tc>
          <w:tcPr>
            <w:tcW w:w="578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ind w:firstLine="404" w:firstLineChars="200"/>
              <w:jc w:val="left"/>
              <w:textAlignment w:val="auto"/>
              <w:rPr>
                <w:rFonts w:hint="eastAsia" w:ascii="宋体" w:hAnsi="宋体" w:eastAsia="宋体" w:cs="宋体"/>
                <w:kern w:val="32"/>
                <w:sz w:val="21"/>
                <w:szCs w:val="21"/>
              </w:rPr>
            </w:pPr>
            <w:r>
              <w:rPr>
                <w:rFonts w:hint="eastAsia" w:ascii="宋体" w:hAnsi="宋体" w:eastAsia="宋体" w:cs="宋体"/>
                <w:kern w:val="32"/>
                <w:sz w:val="21"/>
                <w:szCs w:val="21"/>
              </w:rPr>
              <w:t>在居民住宅楼、未配套设立专用烟道的商住综合楼以及商住综合楼内与居住层相邻的商业楼层内新建、改建、扩建产生油烟、异味、废气的餐饮服务项目</w:t>
            </w:r>
          </w:p>
        </w:tc>
        <w:tc>
          <w:tcPr>
            <w:tcW w:w="309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ind w:firstLine="0" w:firstLineChars="0"/>
              <w:jc w:val="left"/>
              <w:textAlignment w:val="auto"/>
              <w:rPr>
                <w:rFonts w:hint="eastAsia" w:ascii="宋体" w:hAnsi="宋体" w:eastAsia="宋体" w:cs="宋体"/>
                <w:kern w:val="32"/>
                <w:sz w:val="21"/>
                <w:szCs w:val="21"/>
              </w:rPr>
            </w:pPr>
            <w:r>
              <w:rPr>
                <w:rFonts w:hint="eastAsia" w:ascii="宋体" w:hAnsi="宋体" w:eastAsia="宋体" w:cs="宋体"/>
                <w:kern w:val="32"/>
                <w:sz w:val="21"/>
                <w:szCs w:val="21"/>
              </w:rPr>
              <w:t>《中华人民共和国大气</w:t>
            </w:r>
          </w:p>
          <w:p>
            <w:pPr>
              <w:keepNext w:val="0"/>
              <w:keepLines w:val="0"/>
              <w:pageBreakBefore w:val="0"/>
              <w:widowControl w:val="0"/>
              <w:kinsoku/>
              <w:wordWrap/>
              <w:overflowPunct/>
              <w:topLinePunct w:val="0"/>
              <w:autoSpaceDE/>
              <w:autoSpaceDN/>
              <w:bidi w:val="0"/>
              <w:adjustRightInd/>
              <w:snapToGrid/>
              <w:spacing w:line="240" w:lineRule="exact"/>
              <w:ind w:firstLine="0" w:firstLineChars="0"/>
              <w:jc w:val="left"/>
              <w:textAlignment w:val="auto"/>
              <w:rPr>
                <w:rFonts w:hint="eastAsia" w:ascii="宋体" w:hAnsi="宋体" w:eastAsia="宋体" w:cs="宋体"/>
                <w:kern w:val="32"/>
                <w:sz w:val="21"/>
                <w:szCs w:val="21"/>
              </w:rPr>
            </w:pPr>
            <w:r>
              <w:rPr>
                <w:rFonts w:hint="eastAsia" w:ascii="宋体" w:hAnsi="宋体" w:eastAsia="宋体" w:cs="宋体"/>
                <w:kern w:val="32"/>
                <w:sz w:val="21"/>
                <w:szCs w:val="21"/>
              </w:rPr>
              <w:t>污染防治法》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5" w:hRule="atLeast"/>
        </w:trPr>
        <w:tc>
          <w:tcPr>
            <w:tcW w:w="470"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eastAsia" w:ascii="宋体" w:hAnsi="宋体" w:eastAsia="宋体" w:cs="宋体"/>
                <w:kern w:val="32"/>
                <w:sz w:val="21"/>
                <w:szCs w:val="21"/>
                <w:lang w:eastAsia="zh-CN"/>
              </w:rPr>
            </w:pPr>
            <w:r>
              <w:rPr>
                <w:rFonts w:hint="eastAsia" w:ascii="宋体" w:hAnsi="宋体" w:eastAsia="宋体" w:cs="宋体"/>
                <w:kern w:val="32"/>
                <w:sz w:val="21"/>
                <w:szCs w:val="21"/>
                <w:lang w:val="en-US" w:eastAsia="zh-CN"/>
              </w:rPr>
              <w:t>2</w:t>
            </w:r>
          </w:p>
        </w:tc>
        <w:tc>
          <w:tcPr>
            <w:tcW w:w="578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ind w:firstLine="404" w:firstLineChars="200"/>
              <w:jc w:val="left"/>
              <w:textAlignment w:val="auto"/>
              <w:rPr>
                <w:rFonts w:hint="eastAsia" w:ascii="宋体" w:hAnsi="宋体" w:eastAsia="宋体" w:cs="宋体"/>
                <w:kern w:val="32"/>
                <w:sz w:val="21"/>
                <w:szCs w:val="21"/>
              </w:rPr>
            </w:pPr>
            <w:r>
              <w:rPr>
                <w:rFonts w:hint="eastAsia" w:ascii="宋体" w:hAnsi="宋体" w:eastAsia="宋体" w:cs="宋体"/>
                <w:kern w:val="32"/>
                <w:sz w:val="21"/>
                <w:szCs w:val="21"/>
              </w:rPr>
              <w:t>医疗器械的经营场所和库房不得设在居民住宅内、军事管理区（不含可租赁区）及其他不适合经营的场所</w:t>
            </w:r>
          </w:p>
        </w:tc>
        <w:tc>
          <w:tcPr>
            <w:tcW w:w="309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ind w:firstLine="0" w:firstLineChars="0"/>
              <w:jc w:val="left"/>
              <w:textAlignment w:val="auto"/>
              <w:rPr>
                <w:rFonts w:hint="eastAsia" w:ascii="宋体" w:hAnsi="宋体" w:eastAsia="宋体" w:cs="宋体"/>
                <w:kern w:val="32"/>
                <w:sz w:val="21"/>
                <w:szCs w:val="21"/>
              </w:rPr>
            </w:pPr>
            <w:r>
              <w:rPr>
                <w:rFonts w:hint="eastAsia" w:ascii="宋体" w:hAnsi="宋体" w:eastAsia="宋体" w:cs="宋体"/>
                <w:kern w:val="32"/>
                <w:sz w:val="21"/>
                <w:szCs w:val="21"/>
              </w:rPr>
              <w:t>《医疗器械经营质量管理规范》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1" w:hRule="atLeast"/>
        </w:trPr>
        <w:tc>
          <w:tcPr>
            <w:tcW w:w="470"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eastAsia" w:ascii="宋体" w:hAnsi="宋体" w:eastAsia="宋体" w:cs="宋体"/>
                <w:kern w:val="32"/>
                <w:sz w:val="21"/>
                <w:szCs w:val="21"/>
                <w:lang w:eastAsia="zh-CN"/>
              </w:rPr>
            </w:pPr>
            <w:r>
              <w:rPr>
                <w:rFonts w:hint="eastAsia" w:ascii="宋体" w:hAnsi="宋体" w:eastAsia="宋体" w:cs="宋体"/>
                <w:kern w:val="32"/>
                <w:sz w:val="21"/>
                <w:szCs w:val="21"/>
                <w:lang w:val="en-US" w:eastAsia="zh-CN"/>
              </w:rPr>
              <w:t>3</w:t>
            </w:r>
          </w:p>
        </w:tc>
        <w:tc>
          <w:tcPr>
            <w:tcW w:w="578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ind w:firstLine="404" w:firstLineChars="200"/>
              <w:jc w:val="left"/>
              <w:textAlignment w:val="auto"/>
              <w:rPr>
                <w:rFonts w:hint="eastAsia" w:ascii="宋体" w:hAnsi="宋体" w:eastAsia="宋体" w:cs="宋体"/>
                <w:kern w:val="32"/>
                <w:sz w:val="21"/>
                <w:szCs w:val="21"/>
              </w:rPr>
            </w:pPr>
            <w:r>
              <w:rPr>
                <w:rFonts w:hint="eastAsia" w:ascii="宋体" w:hAnsi="宋体" w:eastAsia="宋体" w:cs="宋体"/>
                <w:kern w:val="32"/>
                <w:sz w:val="21"/>
                <w:szCs w:val="21"/>
              </w:rPr>
              <w:t>在非营业性用房内开办旅行社</w:t>
            </w:r>
          </w:p>
        </w:tc>
        <w:tc>
          <w:tcPr>
            <w:tcW w:w="309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ind w:firstLine="0" w:firstLineChars="0"/>
              <w:jc w:val="left"/>
              <w:textAlignment w:val="auto"/>
              <w:rPr>
                <w:rFonts w:hint="eastAsia" w:ascii="宋体" w:hAnsi="宋体" w:eastAsia="宋体" w:cs="宋体"/>
                <w:kern w:val="32"/>
                <w:sz w:val="21"/>
                <w:szCs w:val="21"/>
              </w:rPr>
            </w:pPr>
            <w:r>
              <w:rPr>
                <w:rFonts w:hint="eastAsia" w:ascii="宋体" w:hAnsi="宋体" w:eastAsia="宋体" w:cs="宋体"/>
                <w:kern w:val="32"/>
                <w:sz w:val="21"/>
                <w:szCs w:val="21"/>
              </w:rPr>
              <w:t>《旅行社条例实施细则》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1" w:hRule="atLeast"/>
        </w:trPr>
        <w:tc>
          <w:tcPr>
            <w:tcW w:w="470"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eastAsia" w:ascii="宋体" w:hAnsi="宋体" w:eastAsia="宋体" w:cs="宋体"/>
                <w:kern w:val="32"/>
                <w:sz w:val="21"/>
                <w:szCs w:val="21"/>
                <w:lang w:eastAsia="zh-CN"/>
              </w:rPr>
            </w:pPr>
            <w:r>
              <w:rPr>
                <w:rFonts w:hint="eastAsia" w:ascii="宋体" w:hAnsi="宋体" w:eastAsia="宋体" w:cs="宋体"/>
                <w:kern w:val="32"/>
                <w:sz w:val="21"/>
                <w:szCs w:val="21"/>
                <w:lang w:val="en-US" w:eastAsia="zh-CN"/>
              </w:rPr>
              <w:t>4</w:t>
            </w:r>
          </w:p>
        </w:tc>
        <w:tc>
          <w:tcPr>
            <w:tcW w:w="578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ind w:firstLine="404" w:firstLineChars="200"/>
              <w:jc w:val="left"/>
              <w:textAlignment w:val="auto"/>
              <w:rPr>
                <w:rFonts w:hint="eastAsia" w:ascii="宋体" w:hAnsi="宋体" w:eastAsia="宋体" w:cs="宋体"/>
                <w:kern w:val="32"/>
                <w:sz w:val="21"/>
                <w:szCs w:val="21"/>
              </w:rPr>
            </w:pPr>
            <w:r>
              <w:rPr>
                <w:rFonts w:hint="eastAsia" w:ascii="宋体" w:hAnsi="宋体" w:eastAsia="宋体" w:cs="宋体"/>
                <w:kern w:val="32"/>
                <w:sz w:val="21"/>
                <w:szCs w:val="21"/>
              </w:rPr>
              <w:t>保障性住房</w:t>
            </w:r>
          </w:p>
        </w:tc>
        <w:tc>
          <w:tcPr>
            <w:tcW w:w="309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ind w:firstLine="0" w:firstLineChars="0"/>
              <w:jc w:val="left"/>
              <w:textAlignment w:val="auto"/>
              <w:rPr>
                <w:rFonts w:hint="eastAsia" w:ascii="宋体" w:hAnsi="宋体" w:eastAsia="宋体" w:cs="宋体"/>
                <w:kern w:val="32"/>
                <w:sz w:val="21"/>
                <w:szCs w:val="21"/>
              </w:rPr>
            </w:pPr>
            <w:r>
              <w:rPr>
                <w:rFonts w:hint="eastAsia" w:ascii="宋体" w:hAnsi="宋体" w:eastAsia="宋体" w:cs="宋体"/>
                <w:kern w:val="32"/>
                <w:sz w:val="21"/>
                <w:szCs w:val="21"/>
              </w:rPr>
              <w:t>《黑龙江省城镇保障性安居工程建设管理办法》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80" w:hRule="atLeast"/>
        </w:trPr>
        <w:tc>
          <w:tcPr>
            <w:tcW w:w="470"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eastAsia" w:ascii="宋体" w:hAnsi="宋体" w:eastAsia="宋体" w:cs="宋体"/>
                <w:kern w:val="32"/>
                <w:sz w:val="21"/>
                <w:szCs w:val="21"/>
                <w:lang w:eastAsia="zh-CN"/>
              </w:rPr>
            </w:pPr>
            <w:r>
              <w:rPr>
                <w:rFonts w:hint="eastAsia" w:ascii="宋体" w:hAnsi="宋体" w:eastAsia="宋体" w:cs="宋体"/>
                <w:kern w:val="32"/>
                <w:sz w:val="21"/>
                <w:szCs w:val="21"/>
                <w:lang w:val="en-US" w:eastAsia="zh-CN"/>
              </w:rPr>
              <w:t>5</w:t>
            </w:r>
          </w:p>
        </w:tc>
        <w:tc>
          <w:tcPr>
            <w:tcW w:w="578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40" w:lineRule="exact"/>
              <w:ind w:firstLine="404" w:firstLineChars="200"/>
              <w:jc w:val="left"/>
              <w:textAlignment w:val="auto"/>
              <w:rPr>
                <w:rFonts w:hint="eastAsia" w:ascii="宋体" w:hAnsi="宋体" w:eastAsia="宋体" w:cs="宋体"/>
                <w:kern w:val="32"/>
                <w:sz w:val="21"/>
                <w:szCs w:val="21"/>
              </w:rPr>
            </w:pPr>
            <w:r>
              <w:rPr>
                <w:rFonts w:hint="eastAsia" w:ascii="宋体" w:hAnsi="宋体" w:eastAsia="宋体" w:cs="宋体"/>
                <w:kern w:val="32"/>
                <w:sz w:val="21"/>
                <w:szCs w:val="21"/>
              </w:rPr>
              <w:t>公共租赁住房（含廉租房）</w:t>
            </w:r>
          </w:p>
        </w:tc>
        <w:tc>
          <w:tcPr>
            <w:tcW w:w="309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ind w:firstLine="0" w:firstLineChars="0"/>
              <w:jc w:val="left"/>
              <w:textAlignment w:val="auto"/>
              <w:rPr>
                <w:rFonts w:hint="eastAsia" w:ascii="宋体" w:hAnsi="宋体" w:eastAsia="宋体" w:cs="宋体"/>
                <w:kern w:val="32"/>
                <w:sz w:val="21"/>
                <w:szCs w:val="21"/>
              </w:rPr>
            </w:pPr>
            <w:r>
              <w:rPr>
                <w:rFonts w:hint="eastAsia" w:ascii="宋体" w:hAnsi="宋体" w:eastAsia="宋体" w:cs="宋体"/>
                <w:kern w:val="32"/>
                <w:sz w:val="21"/>
                <w:szCs w:val="21"/>
              </w:rPr>
              <w:t>《公共租赁住房管理办法》（建设部令第11号）“第二十七条　承租人有下列行为之一的，应当退回公共租赁住房：（二）改变所承租公共租赁住房用途的”。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 w:hRule="atLeast"/>
        </w:trPr>
        <w:tc>
          <w:tcPr>
            <w:tcW w:w="470"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eastAsia" w:ascii="宋体" w:hAnsi="宋体" w:eastAsia="宋体" w:cs="宋体"/>
                <w:kern w:val="32"/>
                <w:sz w:val="21"/>
                <w:szCs w:val="21"/>
                <w:lang w:eastAsia="zh-CN"/>
              </w:rPr>
            </w:pPr>
            <w:r>
              <w:rPr>
                <w:rFonts w:hint="eastAsia" w:ascii="宋体" w:hAnsi="宋体" w:eastAsia="宋体" w:cs="宋体"/>
                <w:kern w:val="32"/>
                <w:sz w:val="21"/>
                <w:szCs w:val="21"/>
                <w:lang w:val="en-US" w:eastAsia="zh-CN"/>
              </w:rPr>
              <w:t>6</w:t>
            </w:r>
          </w:p>
        </w:tc>
        <w:tc>
          <w:tcPr>
            <w:tcW w:w="578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ind w:firstLine="404" w:firstLineChars="200"/>
              <w:jc w:val="left"/>
              <w:textAlignment w:val="auto"/>
              <w:rPr>
                <w:rFonts w:hint="eastAsia" w:ascii="宋体" w:hAnsi="宋体" w:eastAsia="宋体" w:cs="宋体"/>
                <w:kern w:val="32"/>
                <w:sz w:val="21"/>
                <w:szCs w:val="21"/>
              </w:rPr>
            </w:pPr>
            <w:r>
              <w:rPr>
                <w:rFonts w:hint="eastAsia" w:ascii="宋体" w:hAnsi="宋体" w:eastAsia="宋体" w:cs="宋体"/>
                <w:kern w:val="32"/>
                <w:sz w:val="21"/>
                <w:szCs w:val="21"/>
              </w:rPr>
              <w:t>个人购买在取得完全产权以前的经济适用住房</w:t>
            </w:r>
          </w:p>
        </w:tc>
        <w:tc>
          <w:tcPr>
            <w:tcW w:w="309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ind w:firstLine="0" w:firstLineChars="0"/>
              <w:jc w:val="left"/>
              <w:textAlignment w:val="auto"/>
              <w:rPr>
                <w:rFonts w:hint="eastAsia" w:ascii="宋体" w:hAnsi="宋体" w:eastAsia="宋体" w:cs="宋体"/>
                <w:spacing w:val="-8"/>
                <w:kern w:val="32"/>
                <w:sz w:val="21"/>
                <w:szCs w:val="21"/>
              </w:rPr>
            </w:pPr>
            <w:r>
              <w:rPr>
                <w:rFonts w:hint="eastAsia" w:ascii="宋体" w:hAnsi="宋体" w:eastAsia="宋体" w:cs="宋体"/>
                <w:spacing w:val="-8"/>
                <w:kern w:val="32"/>
                <w:sz w:val="21"/>
                <w:szCs w:val="21"/>
              </w:rPr>
              <w:t>《经济适用住房管理办法》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90" w:hRule="atLeast"/>
        </w:trPr>
        <w:tc>
          <w:tcPr>
            <w:tcW w:w="470"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eastAsia" w:ascii="宋体" w:hAnsi="宋体" w:eastAsia="宋体" w:cs="宋体"/>
                <w:kern w:val="32"/>
                <w:sz w:val="21"/>
                <w:szCs w:val="21"/>
                <w:lang w:eastAsia="zh-CN"/>
              </w:rPr>
            </w:pPr>
            <w:r>
              <w:rPr>
                <w:rFonts w:hint="eastAsia" w:ascii="宋体" w:hAnsi="宋体" w:eastAsia="宋体" w:cs="宋体"/>
                <w:kern w:val="32"/>
                <w:sz w:val="21"/>
                <w:szCs w:val="21"/>
                <w:lang w:val="en-US" w:eastAsia="zh-CN"/>
              </w:rPr>
              <w:t>7</w:t>
            </w:r>
          </w:p>
        </w:tc>
        <w:tc>
          <w:tcPr>
            <w:tcW w:w="578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ind w:firstLine="388" w:firstLineChars="200"/>
              <w:jc w:val="left"/>
              <w:textAlignment w:val="auto"/>
              <w:rPr>
                <w:rFonts w:hint="eastAsia" w:ascii="宋体" w:hAnsi="宋体" w:eastAsia="宋体" w:cs="宋体"/>
                <w:spacing w:val="-4"/>
                <w:kern w:val="32"/>
                <w:sz w:val="21"/>
                <w:szCs w:val="21"/>
              </w:rPr>
            </w:pPr>
            <w:r>
              <w:rPr>
                <w:rFonts w:hint="eastAsia" w:ascii="宋体" w:hAnsi="宋体" w:eastAsia="宋体" w:cs="宋体"/>
                <w:spacing w:val="-4"/>
                <w:kern w:val="32"/>
                <w:sz w:val="21"/>
                <w:szCs w:val="21"/>
              </w:rPr>
              <w:t>中、小学校周边直线距离二百米内不得设置营业性歌舞娱乐场所、互联网上网服务营业场所等不适宜未成年人活动场所。校门前二百米半径以内，不得设置台球、电子游戏机经营点</w:t>
            </w:r>
          </w:p>
        </w:tc>
        <w:tc>
          <w:tcPr>
            <w:tcW w:w="309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ind w:firstLine="0" w:firstLineChars="0"/>
              <w:jc w:val="left"/>
              <w:textAlignment w:val="auto"/>
              <w:rPr>
                <w:rFonts w:hint="eastAsia" w:ascii="宋体" w:hAnsi="宋体" w:eastAsia="宋体" w:cs="宋体"/>
                <w:kern w:val="32"/>
                <w:sz w:val="21"/>
                <w:szCs w:val="21"/>
              </w:rPr>
            </w:pPr>
            <w:r>
              <w:rPr>
                <w:rFonts w:hint="eastAsia" w:ascii="宋体" w:hAnsi="宋体" w:eastAsia="宋体" w:cs="宋体"/>
                <w:kern w:val="32"/>
                <w:sz w:val="21"/>
                <w:szCs w:val="21"/>
              </w:rPr>
              <w:t>《中华人民共和国未成年人保护法》《中华人民共和国预防未成年人犯罪法》《娱乐场所管理条例》《互联网上网服务营业场所管理条例》《黑龙江省未成年人保护条例》《文化部、公安部关于加强台球、电子游戏机娱乐活动管理的通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3" w:hRule="atLeast"/>
        </w:trPr>
        <w:tc>
          <w:tcPr>
            <w:tcW w:w="470"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eastAsia" w:ascii="宋体" w:hAnsi="宋体" w:eastAsia="宋体" w:cs="宋体"/>
                <w:kern w:val="32"/>
                <w:sz w:val="21"/>
                <w:szCs w:val="21"/>
                <w:lang w:eastAsia="zh-CN"/>
              </w:rPr>
            </w:pPr>
            <w:bookmarkStart w:id="0" w:name="_GoBack" w:colFirst="2" w:colLast="2"/>
            <w:r>
              <w:rPr>
                <w:rFonts w:hint="eastAsia" w:ascii="宋体" w:hAnsi="宋体" w:eastAsia="宋体" w:cs="宋体"/>
                <w:kern w:val="32"/>
                <w:sz w:val="21"/>
                <w:szCs w:val="21"/>
                <w:lang w:val="en-US" w:eastAsia="zh-CN"/>
              </w:rPr>
              <w:t>8</w:t>
            </w:r>
          </w:p>
        </w:tc>
        <w:tc>
          <w:tcPr>
            <w:tcW w:w="578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ind w:firstLine="404" w:firstLineChars="200"/>
              <w:jc w:val="left"/>
              <w:textAlignment w:val="auto"/>
              <w:rPr>
                <w:rFonts w:hint="eastAsia" w:ascii="宋体" w:hAnsi="宋体" w:eastAsia="宋体" w:cs="宋体"/>
                <w:kern w:val="32"/>
                <w:sz w:val="21"/>
                <w:szCs w:val="21"/>
                <w:highlight w:val="none"/>
              </w:rPr>
            </w:pPr>
            <w:r>
              <w:rPr>
                <w:rFonts w:hint="eastAsia" w:ascii="宋体" w:hAnsi="宋体" w:eastAsia="宋体" w:cs="宋体"/>
                <w:kern w:val="32"/>
                <w:sz w:val="21"/>
                <w:szCs w:val="21"/>
                <w:highlight w:val="none"/>
              </w:rPr>
              <w:t>娱乐场所不得设在下列地点：</w:t>
            </w:r>
          </w:p>
          <w:p>
            <w:pPr>
              <w:keepNext w:val="0"/>
              <w:keepLines w:val="0"/>
              <w:pageBreakBefore w:val="0"/>
              <w:widowControl w:val="0"/>
              <w:kinsoku/>
              <w:wordWrap/>
              <w:overflowPunct/>
              <w:topLinePunct w:val="0"/>
              <w:autoSpaceDE/>
              <w:autoSpaceDN/>
              <w:bidi w:val="0"/>
              <w:adjustRightInd/>
              <w:snapToGrid/>
              <w:spacing w:line="240" w:lineRule="exact"/>
              <w:ind w:firstLine="404" w:firstLineChars="200"/>
              <w:jc w:val="left"/>
              <w:textAlignment w:val="auto"/>
              <w:rPr>
                <w:rFonts w:hint="eastAsia" w:ascii="宋体" w:hAnsi="宋体" w:eastAsia="宋体" w:cs="宋体"/>
                <w:kern w:val="32"/>
                <w:sz w:val="21"/>
                <w:szCs w:val="21"/>
                <w:highlight w:val="none"/>
              </w:rPr>
            </w:pPr>
            <w:r>
              <w:rPr>
                <w:rFonts w:hint="eastAsia" w:ascii="宋体" w:hAnsi="宋体" w:eastAsia="宋体" w:cs="宋体"/>
                <w:kern w:val="32"/>
                <w:sz w:val="21"/>
                <w:szCs w:val="21"/>
                <w:highlight w:val="none"/>
              </w:rPr>
              <w:t>（一）居民楼、博物馆、图书馆和被核定为文物保护单位的建筑物内；</w:t>
            </w:r>
          </w:p>
          <w:p>
            <w:pPr>
              <w:keepNext w:val="0"/>
              <w:keepLines w:val="0"/>
              <w:pageBreakBefore w:val="0"/>
              <w:widowControl w:val="0"/>
              <w:kinsoku/>
              <w:wordWrap/>
              <w:overflowPunct/>
              <w:topLinePunct w:val="0"/>
              <w:autoSpaceDE/>
              <w:autoSpaceDN/>
              <w:bidi w:val="0"/>
              <w:adjustRightInd/>
              <w:snapToGrid/>
              <w:spacing w:line="240" w:lineRule="exact"/>
              <w:ind w:firstLine="404" w:firstLineChars="200"/>
              <w:jc w:val="left"/>
              <w:textAlignment w:val="auto"/>
              <w:rPr>
                <w:rFonts w:hint="eastAsia" w:ascii="宋体" w:hAnsi="宋体" w:eastAsia="宋体" w:cs="宋体"/>
                <w:kern w:val="32"/>
                <w:sz w:val="21"/>
                <w:szCs w:val="21"/>
                <w:highlight w:val="none"/>
              </w:rPr>
            </w:pPr>
            <w:r>
              <w:rPr>
                <w:rFonts w:hint="eastAsia" w:ascii="宋体" w:hAnsi="宋体" w:eastAsia="宋体" w:cs="宋体"/>
                <w:kern w:val="32"/>
                <w:sz w:val="21"/>
                <w:szCs w:val="21"/>
                <w:highlight w:val="none"/>
              </w:rPr>
              <w:t>（二）居民住宅区和学校、医院、机关周围；</w:t>
            </w:r>
          </w:p>
          <w:p>
            <w:pPr>
              <w:keepNext w:val="0"/>
              <w:keepLines w:val="0"/>
              <w:pageBreakBefore w:val="0"/>
              <w:widowControl w:val="0"/>
              <w:kinsoku/>
              <w:wordWrap/>
              <w:overflowPunct/>
              <w:topLinePunct w:val="0"/>
              <w:autoSpaceDE/>
              <w:autoSpaceDN/>
              <w:bidi w:val="0"/>
              <w:adjustRightInd/>
              <w:snapToGrid/>
              <w:spacing w:line="240" w:lineRule="exact"/>
              <w:ind w:firstLine="404" w:firstLineChars="200"/>
              <w:jc w:val="left"/>
              <w:textAlignment w:val="auto"/>
              <w:rPr>
                <w:rFonts w:hint="eastAsia" w:ascii="宋体" w:hAnsi="宋体" w:eastAsia="宋体" w:cs="宋体"/>
                <w:kern w:val="32"/>
                <w:sz w:val="21"/>
                <w:szCs w:val="21"/>
                <w:highlight w:val="none"/>
              </w:rPr>
            </w:pPr>
            <w:r>
              <w:rPr>
                <w:rFonts w:hint="eastAsia" w:ascii="宋体" w:hAnsi="宋体" w:eastAsia="宋体" w:cs="宋体"/>
                <w:kern w:val="32"/>
                <w:sz w:val="21"/>
                <w:szCs w:val="21"/>
                <w:highlight w:val="none"/>
              </w:rPr>
              <w:t>（三）车站、机场等人群密集的场所；</w:t>
            </w:r>
          </w:p>
          <w:p>
            <w:pPr>
              <w:keepNext w:val="0"/>
              <w:keepLines w:val="0"/>
              <w:pageBreakBefore w:val="0"/>
              <w:widowControl w:val="0"/>
              <w:kinsoku/>
              <w:wordWrap/>
              <w:overflowPunct/>
              <w:topLinePunct w:val="0"/>
              <w:autoSpaceDE/>
              <w:autoSpaceDN/>
              <w:bidi w:val="0"/>
              <w:adjustRightInd/>
              <w:snapToGrid/>
              <w:spacing w:line="240" w:lineRule="exact"/>
              <w:ind w:firstLine="404" w:firstLineChars="200"/>
              <w:jc w:val="left"/>
              <w:textAlignment w:val="auto"/>
              <w:rPr>
                <w:rFonts w:hint="eastAsia" w:ascii="宋体" w:hAnsi="宋体" w:eastAsia="宋体" w:cs="宋体"/>
                <w:kern w:val="32"/>
                <w:sz w:val="21"/>
                <w:szCs w:val="21"/>
                <w:highlight w:val="none"/>
              </w:rPr>
            </w:pPr>
            <w:r>
              <w:rPr>
                <w:rFonts w:hint="eastAsia" w:ascii="宋体" w:hAnsi="宋体" w:eastAsia="宋体" w:cs="宋体"/>
                <w:kern w:val="32"/>
                <w:sz w:val="21"/>
                <w:szCs w:val="21"/>
                <w:highlight w:val="none"/>
              </w:rPr>
              <w:t>（四）建筑物地下一层以下；</w:t>
            </w:r>
          </w:p>
          <w:p>
            <w:pPr>
              <w:keepNext w:val="0"/>
              <w:keepLines w:val="0"/>
              <w:pageBreakBefore w:val="0"/>
              <w:widowControl w:val="0"/>
              <w:kinsoku/>
              <w:wordWrap/>
              <w:overflowPunct/>
              <w:topLinePunct w:val="0"/>
              <w:autoSpaceDE/>
              <w:autoSpaceDN/>
              <w:bidi w:val="0"/>
              <w:adjustRightInd/>
              <w:snapToGrid/>
              <w:spacing w:line="240" w:lineRule="exact"/>
              <w:ind w:firstLine="404" w:firstLineChars="200"/>
              <w:jc w:val="left"/>
              <w:textAlignment w:val="auto"/>
              <w:rPr>
                <w:rFonts w:hint="eastAsia" w:ascii="宋体" w:hAnsi="宋体" w:eastAsia="宋体" w:cs="宋体"/>
                <w:kern w:val="32"/>
                <w:sz w:val="21"/>
                <w:szCs w:val="21"/>
                <w:highlight w:val="none"/>
              </w:rPr>
            </w:pPr>
            <w:r>
              <w:rPr>
                <w:rFonts w:hint="eastAsia" w:ascii="宋体" w:hAnsi="宋体" w:eastAsia="宋体" w:cs="宋体"/>
                <w:kern w:val="32"/>
                <w:sz w:val="21"/>
                <w:szCs w:val="21"/>
                <w:highlight w:val="none"/>
              </w:rPr>
              <w:t>（五）与危险化学品仓库毗连的区域。</w:t>
            </w:r>
          </w:p>
          <w:p>
            <w:pPr>
              <w:keepNext w:val="0"/>
              <w:keepLines w:val="0"/>
              <w:pageBreakBefore w:val="0"/>
              <w:widowControl w:val="0"/>
              <w:kinsoku/>
              <w:wordWrap/>
              <w:overflowPunct/>
              <w:topLinePunct w:val="0"/>
              <w:autoSpaceDE/>
              <w:autoSpaceDN/>
              <w:bidi w:val="0"/>
              <w:adjustRightInd/>
              <w:snapToGrid/>
              <w:spacing w:line="240" w:lineRule="exact"/>
              <w:ind w:firstLine="404" w:firstLineChars="200"/>
              <w:jc w:val="left"/>
              <w:textAlignment w:val="auto"/>
              <w:rPr>
                <w:rFonts w:hint="eastAsia" w:ascii="宋体" w:hAnsi="宋体" w:eastAsia="宋体" w:cs="宋体"/>
                <w:spacing w:val="-4"/>
                <w:kern w:val="32"/>
                <w:sz w:val="21"/>
                <w:szCs w:val="21"/>
                <w:highlight w:val="none"/>
              </w:rPr>
            </w:pPr>
            <w:r>
              <w:rPr>
                <w:rFonts w:hint="eastAsia" w:ascii="宋体" w:hAnsi="宋体" w:eastAsia="宋体" w:cs="宋体"/>
                <w:kern w:val="32"/>
                <w:sz w:val="21"/>
                <w:szCs w:val="21"/>
                <w:highlight w:val="none"/>
              </w:rPr>
              <w:t>娱乐场所的边界噪声，应当符合国家规定的环境噪声标准。</w:t>
            </w:r>
          </w:p>
        </w:tc>
        <w:tc>
          <w:tcPr>
            <w:tcW w:w="309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ind w:firstLine="0" w:firstLineChars="0"/>
              <w:jc w:val="left"/>
              <w:textAlignment w:val="auto"/>
              <w:rPr>
                <w:rFonts w:hint="eastAsia" w:ascii="宋体" w:hAnsi="宋体" w:eastAsia="宋体" w:cs="宋体"/>
                <w:kern w:val="32"/>
                <w:sz w:val="21"/>
                <w:szCs w:val="21"/>
                <w:highlight w:val="none"/>
              </w:rPr>
            </w:pPr>
            <w:r>
              <w:rPr>
                <w:rFonts w:hint="eastAsia" w:ascii="宋体" w:hAnsi="宋体" w:eastAsia="宋体" w:cs="宋体"/>
                <w:kern w:val="32"/>
                <w:sz w:val="21"/>
                <w:szCs w:val="21"/>
                <w:highlight w:val="none"/>
              </w:rPr>
              <w:t>《娱乐场所管理办法》</w:t>
            </w:r>
            <w:r>
              <w:rPr>
                <w:rFonts w:hint="eastAsia" w:ascii="宋体" w:hAnsi="宋体" w:eastAsia="宋体" w:cs="宋体"/>
                <w:b w:val="0"/>
                <w:bCs w:val="0"/>
                <w:i w:val="0"/>
                <w:iCs w:val="0"/>
                <w:caps w:val="0"/>
                <w:color w:val="333333"/>
                <w:spacing w:val="0"/>
                <w:sz w:val="21"/>
                <w:szCs w:val="21"/>
                <w:highlight w:val="none"/>
                <w:shd w:val="clear" w:fill="FFFFFF"/>
              </w:rPr>
              <w:t>第七条</w:t>
            </w:r>
          </w:p>
        </w:tc>
      </w:tr>
      <w:bookmarkEnd w:id="0"/>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9" w:hRule="atLeast"/>
        </w:trPr>
        <w:tc>
          <w:tcPr>
            <w:tcW w:w="470"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eastAsia" w:ascii="宋体" w:hAnsi="宋体" w:eastAsia="宋体" w:cs="宋体"/>
                <w:kern w:val="32"/>
                <w:sz w:val="21"/>
                <w:szCs w:val="21"/>
                <w:lang w:eastAsia="zh-CN"/>
              </w:rPr>
            </w:pPr>
            <w:r>
              <w:rPr>
                <w:rFonts w:hint="eastAsia" w:ascii="宋体" w:hAnsi="宋体" w:eastAsia="宋体" w:cs="宋体"/>
                <w:kern w:val="32"/>
                <w:sz w:val="21"/>
                <w:szCs w:val="21"/>
                <w:lang w:val="en-US" w:eastAsia="zh-CN"/>
              </w:rPr>
              <w:t>9</w:t>
            </w:r>
          </w:p>
        </w:tc>
        <w:tc>
          <w:tcPr>
            <w:tcW w:w="578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ind w:firstLine="404" w:firstLineChars="200"/>
              <w:jc w:val="left"/>
              <w:textAlignment w:val="auto"/>
              <w:rPr>
                <w:rFonts w:hint="eastAsia" w:ascii="宋体" w:hAnsi="宋体" w:eastAsia="宋体" w:cs="宋体"/>
                <w:kern w:val="32"/>
                <w:sz w:val="21"/>
                <w:szCs w:val="21"/>
              </w:rPr>
            </w:pPr>
            <w:r>
              <w:rPr>
                <w:rFonts w:hint="eastAsia" w:ascii="宋体" w:hAnsi="宋体" w:eastAsia="宋体" w:cs="宋体"/>
                <w:kern w:val="32"/>
                <w:sz w:val="21"/>
                <w:szCs w:val="21"/>
              </w:rPr>
              <w:t>中、小学校校园内部及校园门口距离100米以内的区域不得设立卷烟销售网点</w:t>
            </w:r>
          </w:p>
        </w:tc>
        <w:tc>
          <w:tcPr>
            <w:tcW w:w="3091" w:type="dxa"/>
            <w:tcBorders>
              <w:top w:val="single" w:color="auto" w:sz="4" w:space="0"/>
              <w:left w:val="single" w:color="auto" w:sz="4" w:space="0"/>
              <w:bottom w:val="single" w:color="auto" w:sz="4" w:space="0"/>
              <w:right w:val="single" w:color="auto" w:sz="4" w:space="0"/>
            </w:tcBorders>
            <w:vAlign w:val="center"/>
          </w:tcPr>
          <w:p>
            <w:pPr>
              <w:spacing w:line="240" w:lineRule="exact"/>
              <w:jc w:val="left"/>
              <w:rPr>
                <w:rFonts w:hint="eastAsia" w:ascii="宋体" w:hAnsi="宋体" w:eastAsia="宋体" w:cs="宋体"/>
                <w:kern w:val="32"/>
                <w:sz w:val="21"/>
                <w:szCs w:val="21"/>
              </w:rPr>
            </w:pPr>
            <w:r>
              <w:rPr>
                <w:rFonts w:hint="eastAsia" w:ascii="宋体" w:hAnsi="宋体" w:eastAsia="宋体" w:cs="宋体"/>
                <w:kern w:val="32"/>
                <w:sz w:val="21"/>
                <w:szCs w:val="21"/>
              </w:rPr>
              <w:t>《烟草专卖许可证管理办法》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4" w:hRule="atLeast"/>
        </w:trPr>
        <w:tc>
          <w:tcPr>
            <w:tcW w:w="470" w:type="dxa"/>
            <w:vAlign w:val="center"/>
          </w:tcPr>
          <w:p>
            <w:pPr>
              <w:spacing w:line="240" w:lineRule="exact"/>
              <w:jc w:val="center"/>
              <w:rPr>
                <w:rFonts w:hint="eastAsia" w:ascii="宋体" w:hAnsi="宋体" w:eastAsia="宋体" w:cs="宋体"/>
                <w:kern w:val="32"/>
                <w:sz w:val="21"/>
                <w:szCs w:val="21"/>
                <w:lang w:val="en-US" w:eastAsia="zh-CN"/>
              </w:rPr>
            </w:pPr>
            <w:r>
              <w:rPr>
                <w:rFonts w:hint="eastAsia" w:ascii="宋体" w:hAnsi="宋体" w:eastAsia="宋体" w:cs="宋体"/>
                <w:kern w:val="32"/>
                <w:sz w:val="21"/>
                <w:szCs w:val="21"/>
                <w:lang w:val="en-US" w:eastAsia="zh-CN"/>
              </w:rPr>
              <w:t>10</w:t>
            </w:r>
          </w:p>
        </w:tc>
        <w:tc>
          <w:tcPr>
            <w:tcW w:w="5787" w:type="dxa"/>
            <w:vAlign w:val="center"/>
          </w:tcPr>
          <w:p>
            <w:pPr>
              <w:keepNext w:val="0"/>
              <w:keepLines w:val="0"/>
              <w:pageBreakBefore w:val="0"/>
              <w:widowControl w:val="0"/>
              <w:kinsoku/>
              <w:wordWrap/>
              <w:overflowPunct/>
              <w:topLinePunct w:val="0"/>
              <w:autoSpaceDE/>
              <w:autoSpaceDN/>
              <w:bidi w:val="0"/>
              <w:adjustRightInd/>
              <w:snapToGrid/>
              <w:spacing w:line="240" w:lineRule="exact"/>
              <w:ind w:firstLine="404" w:firstLineChars="200"/>
              <w:jc w:val="left"/>
              <w:textAlignment w:val="auto"/>
              <w:rPr>
                <w:rFonts w:hint="eastAsia" w:ascii="宋体" w:hAnsi="宋体" w:eastAsia="宋体" w:cs="宋体"/>
                <w:kern w:val="32"/>
                <w:sz w:val="21"/>
                <w:szCs w:val="21"/>
                <w:highlight w:val="none"/>
              </w:rPr>
            </w:pPr>
            <w:r>
              <w:rPr>
                <w:rFonts w:hint="eastAsia" w:ascii="宋体" w:hAnsi="宋体" w:eastAsia="宋体" w:cs="宋体"/>
                <w:kern w:val="32"/>
                <w:sz w:val="21"/>
                <w:szCs w:val="21"/>
                <w:highlight w:val="none"/>
              </w:rPr>
              <w:t>生产、储存、经营易燃易爆危险品的场所不得与居住场所设置在同一建筑物内，并应当与居住场所保持安全距离。</w:t>
            </w:r>
          </w:p>
          <w:p>
            <w:pPr>
              <w:keepNext w:val="0"/>
              <w:keepLines w:val="0"/>
              <w:pageBreakBefore w:val="0"/>
              <w:widowControl w:val="0"/>
              <w:kinsoku/>
              <w:wordWrap/>
              <w:overflowPunct/>
              <w:topLinePunct w:val="0"/>
              <w:autoSpaceDE/>
              <w:autoSpaceDN/>
              <w:bidi w:val="0"/>
              <w:adjustRightInd/>
              <w:snapToGrid/>
              <w:spacing w:line="240" w:lineRule="exact"/>
              <w:ind w:firstLine="404" w:firstLineChars="200"/>
              <w:jc w:val="left"/>
              <w:textAlignment w:val="auto"/>
              <w:rPr>
                <w:rFonts w:hint="eastAsia" w:ascii="宋体" w:hAnsi="宋体" w:eastAsia="宋体" w:cs="宋体"/>
                <w:kern w:val="32"/>
                <w:sz w:val="21"/>
                <w:szCs w:val="21"/>
                <w:highlight w:val="none"/>
              </w:rPr>
            </w:pPr>
            <w:r>
              <w:rPr>
                <w:rFonts w:hint="eastAsia" w:ascii="宋体" w:hAnsi="宋体" w:eastAsia="宋体" w:cs="宋体"/>
                <w:kern w:val="32"/>
                <w:sz w:val="21"/>
                <w:szCs w:val="21"/>
                <w:highlight w:val="none"/>
              </w:rPr>
              <w:t>生产、储存、经营其他物品的场所与居住场所设置在同一建筑物内的，应当符合国家工程建设消防技术标准；</w:t>
            </w:r>
          </w:p>
        </w:tc>
        <w:tc>
          <w:tcPr>
            <w:tcW w:w="3091" w:type="dxa"/>
            <w:vAlign w:val="center"/>
          </w:tcPr>
          <w:p>
            <w:pPr>
              <w:spacing w:line="240" w:lineRule="exact"/>
              <w:jc w:val="left"/>
              <w:rPr>
                <w:rFonts w:hint="eastAsia" w:ascii="宋体" w:hAnsi="宋体" w:eastAsia="宋体" w:cs="宋体"/>
                <w:kern w:val="32"/>
                <w:sz w:val="21"/>
                <w:szCs w:val="21"/>
                <w:highlight w:val="none"/>
              </w:rPr>
            </w:pPr>
            <w:r>
              <w:rPr>
                <w:rFonts w:hint="eastAsia" w:ascii="宋体" w:hAnsi="宋体" w:eastAsia="宋体" w:cs="宋体"/>
                <w:kern w:val="32"/>
                <w:sz w:val="21"/>
                <w:szCs w:val="21"/>
                <w:highlight w:val="none"/>
              </w:rPr>
              <w:t>《中华人民共和国消防法》第十九条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06" w:hRule="atLeast"/>
        </w:trPr>
        <w:tc>
          <w:tcPr>
            <w:tcW w:w="470" w:type="dxa"/>
            <w:vAlign w:val="center"/>
          </w:tcPr>
          <w:p>
            <w:pPr>
              <w:spacing w:line="240" w:lineRule="exact"/>
              <w:jc w:val="center"/>
              <w:rPr>
                <w:rFonts w:hint="eastAsia" w:ascii="宋体" w:hAnsi="宋体" w:eastAsia="宋体" w:cs="宋体"/>
                <w:kern w:val="32"/>
                <w:sz w:val="21"/>
                <w:szCs w:val="21"/>
                <w:lang w:eastAsia="zh-CN"/>
              </w:rPr>
            </w:pPr>
            <w:r>
              <w:rPr>
                <w:rFonts w:hint="eastAsia" w:ascii="宋体" w:hAnsi="宋体" w:eastAsia="宋体" w:cs="宋体"/>
                <w:kern w:val="32"/>
                <w:sz w:val="21"/>
                <w:szCs w:val="21"/>
              </w:rPr>
              <w:t>1</w:t>
            </w:r>
            <w:r>
              <w:rPr>
                <w:rFonts w:hint="eastAsia" w:ascii="宋体" w:hAnsi="宋体" w:eastAsia="宋体" w:cs="宋体"/>
                <w:kern w:val="32"/>
                <w:sz w:val="21"/>
                <w:szCs w:val="21"/>
                <w:lang w:val="en-US" w:eastAsia="zh-CN"/>
              </w:rPr>
              <w:t>1</w:t>
            </w:r>
          </w:p>
        </w:tc>
        <w:tc>
          <w:tcPr>
            <w:tcW w:w="5787" w:type="dxa"/>
            <w:vAlign w:val="center"/>
          </w:tcPr>
          <w:p>
            <w:pPr>
              <w:keepNext w:val="0"/>
              <w:keepLines w:val="0"/>
              <w:pageBreakBefore w:val="0"/>
              <w:widowControl w:val="0"/>
              <w:kinsoku/>
              <w:wordWrap/>
              <w:overflowPunct/>
              <w:topLinePunct w:val="0"/>
              <w:autoSpaceDE/>
              <w:autoSpaceDN/>
              <w:bidi w:val="0"/>
              <w:adjustRightInd/>
              <w:snapToGrid/>
              <w:spacing w:line="240" w:lineRule="exact"/>
              <w:ind w:firstLine="404" w:firstLineChars="200"/>
              <w:jc w:val="left"/>
              <w:textAlignment w:val="auto"/>
              <w:rPr>
                <w:rFonts w:hint="eastAsia" w:ascii="宋体" w:hAnsi="宋体" w:eastAsia="宋体" w:cs="宋体"/>
                <w:kern w:val="32"/>
                <w:sz w:val="21"/>
                <w:szCs w:val="21"/>
              </w:rPr>
            </w:pPr>
            <w:r>
              <w:rPr>
                <w:rFonts w:hint="eastAsia" w:ascii="宋体" w:hAnsi="宋体" w:eastAsia="宋体" w:cs="宋体"/>
                <w:kern w:val="32"/>
                <w:sz w:val="21"/>
                <w:szCs w:val="21"/>
              </w:rPr>
              <w:t>禁止在下列区域内建设畜禽养殖场、养殖小区：</w:t>
            </w:r>
          </w:p>
          <w:p>
            <w:pPr>
              <w:keepNext w:val="0"/>
              <w:keepLines w:val="0"/>
              <w:pageBreakBefore w:val="0"/>
              <w:widowControl w:val="0"/>
              <w:kinsoku/>
              <w:wordWrap/>
              <w:overflowPunct/>
              <w:topLinePunct w:val="0"/>
              <w:autoSpaceDE/>
              <w:autoSpaceDN/>
              <w:bidi w:val="0"/>
              <w:adjustRightInd/>
              <w:snapToGrid/>
              <w:spacing w:line="240" w:lineRule="exact"/>
              <w:ind w:firstLine="404" w:firstLineChars="200"/>
              <w:jc w:val="left"/>
              <w:textAlignment w:val="auto"/>
              <w:rPr>
                <w:rFonts w:hint="eastAsia" w:ascii="宋体" w:hAnsi="宋体" w:eastAsia="宋体" w:cs="宋体"/>
                <w:kern w:val="32"/>
                <w:sz w:val="21"/>
                <w:szCs w:val="21"/>
              </w:rPr>
            </w:pPr>
            <w:r>
              <w:rPr>
                <w:rFonts w:hint="eastAsia" w:ascii="宋体" w:hAnsi="宋体" w:eastAsia="宋体" w:cs="宋体"/>
                <w:kern w:val="32"/>
                <w:sz w:val="21"/>
                <w:szCs w:val="21"/>
              </w:rPr>
              <w:t>（一）饮用水水源保护区，风景名胜区；</w:t>
            </w:r>
          </w:p>
          <w:p>
            <w:pPr>
              <w:keepNext w:val="0"/>
              <w:keepLines w:val="0"/>
              <w:pageBreakBefore w:val="0"/>
              <w:widowControl w:val="0"/>
              <w:kinsoku/>
              <w:wordWrap/>
              <w:overflowPunct/>
              <w:topLinePunct w:val="0"/>
              <w:autoSpaceDE/>
              <w:autoSpaceDN/>
              <w:bidi w:val="0"/>
              <w:adjustRightInd/>
              <w:snapToGrid/>
              <w:spacing w:line="240" w:lineRule="exact"/>
              <w:ind w:firstLine="404" w:firstLineChars="200"/>
              <w:jc w:val="left"/>
              <w:textAlignment w:val="auto"/>
              <w:rPr>
                <w:rFonts w:hint="eastAsia" w:ascii="宋体" w:hAnsi="宋体" w:eastAsia="宋体" w:cs="宋体"/>
                <w:kern w:val="32"/>
                <w:sz w:val="21"/>
                <w:szCs w:val="21"/>
              </w:rPr>
            </w:pPr>
            <w:r>
              <w:rPr>
                <w:rFonts w:hint="eastAsia" w:ascii="宋体" w:hAnsi="宋体" w:eastAsia="宋体" w:cs="宋体"/>
                <w:kern w:val="32"/>
                <w:sz w:val="21"/>
                <w:szCs w:val="21"/>
              </w:rPr>
              <w:t>（二）自然保护区的核心区和缓冲区；</w:t>
            </w:r>
          </w:p>
          <w:p>
            <w:pPr>
              <w:keepNext w:val="0"/>
              <w:keepLines w:val="0"/>
              <w:pageBreakBefore w:val="0"/>
              <w:widowControl w:val="0"/>
              <w:kinsoku/>
              <w:wordWrap/>
              <w:overflowPunct/>
              <w:topLinePunct w:val="0"/>
              <w:autoSpaceDE/>
              <w:autoSpaceDN/>
              <w:bidi w:val="0"/>
              <w:adjustRightInd/>
              <w:snapToGrid/>
              <w:spacing w:line="240" w:lineRule="exact"/>
              <w:ind w:firstLine="404" w:firstLineChars="200"/>
              <w:jc w:val="left"/>
              <w:textAlignment w:val="auto"/>
              <w:rPr>
                <w:rFonts w:hint="eastAsia" w:ascii="宋体" w:hAnsi="宋体" w:eastAsia="宋体" w:cs="宋体"/>
                <w:kern w:val="32"/>
                <w:sz w:val="21"/>
                <w:szCs w:val="21"/>
              </w:rPr>
            </w:pPr>
            <w:r>
              <w:rPr>
                <w:rFonts w:hint="eastAsia" w:ascii="宋体" w:hAnsi="宋体" w:eastAsia="宋体" w:cs="宋体"/>
                <w:kern w:val="32"/>
                <w:sz w:val="21"/>
                <w:szCs w:val="21"/>
              </w:rPr>
              <w:t>（三）城镇居民区、文化教育科学研究区等人口集中区域；</w:t>
            </w:r>
          </w:p>
          <w:p>
            <w:pPr>
              <w:keepNext w:val="0"/>
              <w:keepLines w:val="0"/>
              <w:pageBreakBefore w:val="0"/>
              <w:widowControl w:val="0"/>
              <w:kinsoku/>
              <w:wordWrap/>
              <w:overflowPunct/>
              <w:topLinePunct w:val="0"/>
              <w:autoSpaceDE/>
              <w:autoSpaceDN/>
              <w:bidi w:val="0"/>
              <w:adjustRightInd/>
              <w:snapToGrid/>
              <w:spacing w:line="240" w:lineRule="exact"/>
              <w:ind w:firstLine="404" w:firstLineChars="200"/>
              <w:jc w:val="left"/>
              <w:textAlignment w:val="auto"/>
              <w:rPr>
                <w:rFonts w:hint="eastAsia" w:ascii="宋体" w:hAnsi="宋体" w:eastAsia="宋体" w:cs="宋体"/>
                <w:kern w:val="32"/>
                <w:sz w:val="21"/>
                <w:szCs w:val="21"/>
              </w:rPr>
            </w:pPr>
            <w:r>
              <w:rPr>
                <w:rFonts w:hint="eastAsia" w:ascii="宋体" w:hAnsi="宋体" w:eastAsia="宋体" w:cs="宋体"/>
                <w:kern w:val="32"/>
                <w:sz w:val="21"/>
                <w:szCs w:val="21"/>
              </w:rPr>
              <w:t>（四）法律、法规规定的其他禁止养殖区域</w:t>
            </w:r>
          </w:p>
        </w:tc>
        <w:tc>
          <w:tcPr>
            <w:tcW w:w="3091" w:type="dxa"/>
            <w:vAlign w:val="center"/>
          </w:tcPr>
          <w:p>
            <w:pPr>
              <w:spacing w:line="240" w:lineRule="exact"/>
              <w:jc w:val="left"/>
              <w:rPr>
                <w:rFonts w:hint="eastAsia" w:ascii="宋体" w:hAnsi="宋体" w:eastAsia="宋体" w:cs="宋体"/>
                <w:kern w:val="32"/>
                <w:sz w:val="21"/>
                <w:szCs w:val="21"/>
              </w:rPr>
            </w:pPr>
            <w:r>
              <w:rPr>
                <w:rFonts w:hint="eastAsia" w:ascii="宋体" w:hAnsi="宋体" w:eastAsia="宋体" w:cs="宋体"/>
                <w:spacing w:val="-10"/>
                <w:kern w:val="32"/>
                <w:sz w:val="21"/>
                <w:szCs w:val="21"/>
              </w:rPr>
              <w:t>《畜禽规模养殖污染防治条例》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2" w:hRule="atLeast"/>
        </w:trPr>
        <w:tc>
          <w:tcPr>
            <w:tcW w:w="470" w:type="dxa"/>
            <w:vAlign w:val="center"/>
          </w:tcPr>
          <w:p>
            <w:pPr>
              <w:spacing w:line="240" w:lineRule="exact"/>
              <w:jc w:val="center"/>
              <w:rPr>
                <w:rFonts w:hint="eastAsia" w:ascii="宋体" w:hAnsi="宋体" w:eastAsia="宋体" w:cs="宋体"/>
                <w:kern w:val="32"/>
                <w:sz w:val="21"/>
                <w:szCs w:val="21"/>
                <w:lang w:eastAsia="zh-CN"/>
              </w:rPr>
            </w:pPr>
            <w:r>
              <w:rPr>
                <w:rFonts w:hint="eastAsia" w:ascii="宋体" w:hAnsi="宋体" w:eastAsia="宋体" w:cs="宋体"/>
                <w:kern w:val="32"/>
                <w:sz w:val="21"/>
                <w:szCs w:val="21"/>
              </w:rPr>
              <w:t>1</w:t>
            </w:r>
            <w:r>
              <w:rPr>
                <w:rFonts w:hint="eastAsia" w:ascii="宋体" w:hAnsi="宋体" w:eastAsia="宋体" w:cs="宋体"/>
                <w:kern w:val="32"/>
                <w:sz w:val="21"/>
                <w:szCs w:val="21"/>
                <w:lang w:val="en-US" w:eastAsia="zh-CN"/>
              </w:rPr>
              <w:t>2</w:t>
            </w:r>
          </w:p>
        </w:tc>
        <w:tc>
          <w:tcPr>
            <w:tcW w:w="5787" w:type="dxa"/>
            <w:vAlign w:val="center"/>
          </w:tcPr>
          <w:p>
            <w:pPr>
              <w:keepNext w:val="0"/>
              <w:keepLines w:val="0"/>
              <w:pageBreakBefore w:val="0"/>
              <w:widowControl w:val="0"/>
              <w:kinsoku/>
              <w:wordWrap/>
              <w:overflowPunct/>
              <w:topLinePunct w:val="0"/>
              <w:autoSpaceDE/>
              <w:autoSpaceDN/>
              <w:bidi w:val="0"/>
              <w:adjustRightInd/>
              <w:snapToGrid/>
              <w:spacing w:line="240" w:lineRule="exact"/>
              <w:ind w:firstLine="404" w:firstLineChars="200"/>
              <w:jc w:val="left"/>
              <w:textAlignment w:val="auto"/>
              <w:rPr>
                <w:rFonts w:hint="eastAsia" w:ascii="宋体" w:hAnsi="宋体" w:eastAsia="宋体" w:cs="宋体"/>
                <w:strike/>
                <w:dstrike w:val="0"/>
                <w:kern w:val="32"/>
                <w:sz w:val="21"/>
                <w:szCs w:val="21"/>
                <w:highlight w:val="yellow"/>
              </w:rPr>
            </w:pPr>
            <w:r>
              <w:rPr>
                <w:rFonts w:hint="eastAsia" w:ascii="宋体" w:hAnsi="宋体" w:eastAsia="宋体" w:cs="宋体"/>
                <w:kern w:val="32"/>
                <w:sz w:val="21"/>
                <w:szCs w:val="21"/>
              </w:rPr>
              <w:t>禁止在饮用水水源一级保护区内从事网箱养殖、旅游、游泳、垂钓或者其他可能污染饮用水水体的活动。</w:t>
            </w:r>
          </w:p>
        </w:tc>
        <w:tc>
          <w:tcPr>
            <w:tcW w:w="3091" w:type="dxa"/>
            <w:vAlign w:val="center"/>
          </w:tcPr>
          <w:p>
            <w:pPr>
              <w:spacing w:line="220" w:lineRule="exact"/>
              <w:jc w:val="left"/>
              <w:rPr>
                <w:rFonts w:hint="eastAsia" w:ascii="宋体" w:hAnsi="宋体" w:eastAsia="宋体" w:cs="宋体"/>
                <w:strike/>
                <w:dstrike w:val="0"/>
                <w:kern w:val="32"/>
                <w:sz w:val="21"/>
                <w:szCs w:val="21"/>
                <w:highlight w:val="yellow"/>
              </w:rPr>
            </w:pPr>
            <w:r>
              <w:rPr>
                <w:rFonts w:hint="eastAsia" w:ascii="宋体" w:hAnsi="宋体" w:eastAsia="宋体" w:cs="宋体"/>
                <w:spacing w:val="-10"/>
                <w:kern w:val="32"/>
                <w:sz w:val="21"/>
                <w:szCs w:val="21"/>
                <w:lang w:eastAsia="zh-CN"/>
              </w:rPr>
              <w:t>《水污染防治法》第</w:t>
            </w:r>
            <w:r>
              <w:rPr>
                <w:rFonts w:hint="eastAsia" w:ascii="宋体" w:hAnsi="宋体" w:eastAsia="宋体" w:cs="宋体"/>
                <w:spacing w:val="-10"/>
                <w:kern w:val="32"/>
                <w:sz w:val="21"/>
                <w:szCs w:val="21"/>
                <w:lang w:val="en-US" w:eastAsia="zh-CN"/>
              </w:rPr>
              <w:t>65条第二款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29" w:hRule="atLeast"/>
        </w:trPr>
        <w:tc>
          <w:tcPr>
            <w:tcW w:w="470" w:type="dxa"/>
            <w:vAlign w:val="center"/>
          </w:tcPr>
          <w:p>
            <w:pPr>
              <w:spacing w:line="240" w:lineRule="exact"/>
              <w:jc w:val="center"/>
              <w:rPr>
                <w:rFonts w:hint="eastAsia" w:ascii="宋体" w:hAnsi="宋体" w:eastAsia="宋体" w:cs="宋体"/>
                <w:kern w:val="32"/>
                <w:sz w:val="21"/>
                <w:szCs w:val="21"/>
                <w:lang w:eastAsia="zh-CN"/>
              </w:rPr>
            </w:pPr>
            <w:r>
              <w:rPr>
                <w:rFonts w:hint="eastAsia" w:ascii="宋体" w:hAnsi="宋体" w:eastAsia="宋体" w:cs="宋体"/>
                <w:kern w:val="32"/>
                <w:sz w:val="21"/>
                <w:szCs w:val="21"/>
                <w:lang w:val="en-US" w:eastAsia="zh-CN"/>
              </w:rPr>
              <w:t>13</w:t>
            </w:r>
          </w:p>
        </w:tc>
        <w:tc>
          <w:tcPr>
            <w:tcW w:w="5787" w:type="dxa"/>
            <w:vAlign w:val="center"/>
          </w:tcPr>
          <w:p>
            <w:pPr>
              <w:keepNext w:val="0"/>
              <w:keepLines w:val="0"/>
              <w:pageBreakBefore w:val="0"/>
              <w:widowControl w:val="0"/>
              <w:kinsoku/>
              <w:wordWrap/>
              <w:overflowPunct/>
              <w:topLinePunct w:val="0"/>
              <w:autoSpaceDE/>
              <w:autoSpaceDN/>
              <w:bidi w:val="0"/>
              <w:adjustRightInd/>
              <w:snapToGrid/>
              <w:spacing w:line="260" w:lineRule="exact"/>
              <w:ind w:firstLine="404" w:firstLineChars="200"/>
              <w:jc w:val="left"/>
              <w:textAlignment w:val="auto"/>
              <w:rPr>
                <w:rFonts w:hint="eastAsia" w:ascii="宋体" w:hAnsi="宋体" w:eastAsia="宋体" w:cs="宋体"/>
                <w:kern w:val="32"/>
                <w:sz w:val="21"/>
                <w:szCs w:val="21"/>
              </w:rPr>
            </w:pPr>
            <w:r>
              <w:rPr>
                <w:rFonts w:hint="eastAsia" w:ascii="宋体" w:hAnsi="宋体" w:eastAsia="宋体" w:cs="宋体"/>
                <w:kern w:val="32"/>
                <w:sz w:val="21"/>
                <w:szCs w:val="21"/>
              </w:rPr>
              <w:t>公共建筑和共用设施、物业服务用房不得擅自改变用途</w:t>
            </w:r>
          </w:p>
        </w:tc>
        <w:tc>
          <w:tcPr>
            <w:tcW w:w="3091" w:type="dxa"/>
            <w:vAlign w:val="center"/>
          </w:tcPr>
          <w:p>
            <w:pPr>
              <w:numPr>
                <w:ilvl w:val="0"/>
                <w:numId w:val="1"/>
              </w:numPr>
              <w:spacing w:line="260" w:lineRule="exact"/>
              <w:jc w:val="left"/>
              <w:rPr>
                <w:rFonts w:hint="eastAsia" w:ascii="宋体" w:hAnsi="宋体" w:eastAsia="宋体" w:cs="宋体"/>
                <w:kern w:val="32"/>
                <w:sz w:val="21"/>
                <w:szCs w:val="21"/>
              </w:rPr>
            </w:pPr>
            <w:r>
              <w:rPr>
                <w:rFonts w:hint="eastAsia" w:ascii="宋体" w:hAnsi="宋体" w:eastAsia="宋体" w:cs="宋体"/>
                <w:kern w:val="32"/>
                <w:sz w:val="21"/>
                <w:szCs w:val="21"/>
              </w:rPr>
              <w:t>《中华人民共和国物权法》第七十三条</w:t>
            </w:r>
          </w:p>
          <w:p>
            <w:pPr>
              <w:numPr>
                <w:ilvl w:val="0"/>
                <w:numId w:val="1"/>
              </w:numPr>
              <w:spacing w:line="260" w:lineRule="exact"/>
              <w:jc w:val="left"/>
              <w:rPr>
                <w:rFonts w:hint="eastAsia" w:ascii="宋体" w:hAnsi="宋体" w:eastAsia="宋体" w:cs="宋体"/>
                <w:kern w:val="32"/>
                <w:sz w:val="21"/>
                <w:szCs w:val="21"/>
              </w:rPr>
            </w:pPr>
            <w:r>
              <w:rPr>
                <w:rFonts w:hint="eastAsia" w:ascii="宋体" w:hAnsi="宋体" w:eastAsia="宋体" w:cs="宋体"/>
                <w:kern w:val="32"/>
                <w:sz w:val="21"/>
                <w:szCs w:val="21"/>
              </w:rPr>
              <w:t>《中华人民共和国民法典》第二百七十四条</w:t>
            </w:r>
          </w:p>
          <w:p>
            <w:pPr>
              <w:numPr>
                <w:ilvl w:val="0"/>
                <w:numId w:val="1"/>
              </w:numPr>
              <w:spacing w:line="260" w:lineRule="exact"/>
              <w:jc w:val="left"/>
              <w:rPr>
                <w:rFonts w:hint="eastAsia" w:ascii="宋体" w:hAnsi="宋体" w:eastAsia="宋体" w:cs="宋体"/>
                <w:kern w:val="32"/>
                <w:sz w:val="21"/>
                <w:szCs w:val="21"/>
              </w:rPr>
            </w:pPr>
            <w:r>
              <w:rPr>
                <w:rFonts w:hint="eastAsia" w:ascii="宋体" w:hAnsi="宋体" w:eastAsia="宋体" w:cs="宋体"/>
                <w:kern w:val="32"/>
                <w:sz w:val="21"/>
                <w:szCs w:val="21"/>
              </w:rPr>
              <w:t>国务院《物业管理条例》第三十七条</w:t>
            </w:r>
          </w:p>
          <w:p>
            <w:pPr>
              <w:spacing w:line="260" w:lineRule="exact"/>
              <w:jc w:val="left"/>
              <w:rPr>
                <w:rFonts w:hint="eastAsia" w:ascii="宋体" w:hAnsi="宋体" w:eastAsia="宋体" w:cs="宋体"/>
                <w:kern w:val="32"/>
                <w:sz w:val="21"/>
                <w:szCs w:val="21"/>
              </w:rPr>
            </w:pPr>
            <w:r>
              <w:rPr>
                <w:rFonts w:hint="eastAsia" w:ascii="宋体" w:hAnsi="宋体" w:eastAsia="宋体" w:cs="宋体"/>
                <w:kern w:val="32"/>
                <w:sz w:val="21"/>
                <w:szCs w:val="21"/>
              </w:rPr>
              <w:t>4.国务院《物业管理条例》第四十九条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5" w:hRule="atLeast"/>
        </w:trPr>
        <w:tc>
          <w:tcPr>
            <w:tcW w:w="470" w:type="dxa"/>
            <w:vAlign w:val="center"/>
          </w:tcPr>
          <w:p>
            <w:pPr>
              <w:spacing w:line="260" w:lineRule="exact"/>
              <w:jc w:val="center"/>
              <w:rPr>
                <w:rFonts w:hint="eastAsia" w:ascii="宋体" w:hAnsi="宋体" w:eastAsia="宋体" w:cs="宋体"/>
                <w:kern w:val="32"/>
                <w:sz w:val="21"/>
                <w:szCs w:val="21"/>
                <w:lang w:eastAsia="zh-CN"/>
              </w:rPr>
            </w:pPr>
            <w:r>
              <w:rPr>
                <w:rFonts w:hint="eastAsia" w:ascii="宋体" w:hAnsi="宋体" w:eastAsia="宋体" w:cs="宋体"/>
                <w:kern w:val="32"/>
                <w:sz w:val="21"/>
                <w:szCs w:val="21"/>
              </w:rPr>
              <w:t>1</w:t>
            </w:r>
            <w:r>
              <w:rPr>
                <w:rFonts w:hint="eastAsia" w:ascii="宋体" w:hAnsi="宋体" w:eastAsia="宋体" w:cs="宋体"/>
                <w:kern w:val="32"/>
                <w:sz w:val="21"/>
                <w:szCs w:val="21"/>
                <w:lang w:val="en-US" w:eastAsia="zh-CN"/>
              </w:rPr>
              <w:t>4</w:t>
            </w:r>
          </w:p>
        </w:tc>
        <w:tc>
          <w:tcPr>
            <w:tcW w:w="5787" w:type="dxa"/>
            <w:vAlign w:val="center"/>
          </w:tcPr>
          <w:p>
            <w:pPr>
              <w:keepNext w:val="0"/>
              <w:keepLines w:val="0"/>
              <w:pageBreakBefore w:val="0"/>
              <w:widowControl w:val="0"/>
              <w:kinsoku/>
              <w:wordWrap/>
              <w:overflowPunct/>
              <w:topLinePunct w:val="0"/>
              <w:autoSpaceDE/>
              <w:autoSpaceDN/>
              <w:bidi w:val="0"/>
              <w:adjustRightInd/>
              <w:snapToGrid/>
              <w:spacing w:line="260" w:lineRule="exact"/>
              <w:ind w:firstLine="404" w:firstLineChars="200"/>
              <w:jc w:val="left"/>
              <w:textAlignment w:val="auto"/>
              <w:rPr>
                <w:rFonts w:hint="eastAsia" w:ascii="宋体" w:hAnsi="宋体" w:eastAsia="宋体" w:cs="宋体"/>
                <w:kern w:val="32"/>
                <w:sz w:val="21"/>
                <w:szCs w:val="21"/>
              </w:rPr>
            </w:pPr>
            <w:r>
              <w:rPr>
                <w:rFonts w:hint="eastAsia" w:ascii="宋体" w:hAnsi="宋体" w:eastAsia="宋体" w:cs="宋体"/>
                <w:kern w:val="32"/>
                <w:sz w:val="21"/>
                <w:szCs w:val="21"/>
              </w:rPr>
              <w:t>危险化学品生产装置或者储存数量构成重大危险源的危险化学品储存设施（运输工具加油站、加气站除外），与下列场所、设施、区域的距离应当符合国家有关规定:</w:t>
            </w:r>
          </w:p>
          <w:p>
            <w:pPr>
              <w:keepNext w:val="0"/>
              <w:keepLines w:val="0"/>
              <w:pageBreakBefore w:val="0"/>
              <w:widowControl w:val="0"/>
              <w:kinsoku/>
              <w:wordWrap/>
              <w:overflowPunct/>
              <w:topLinePunct w:val="0"/>
              <w:autoSpaceDE/>
              <w:autoSpaceDN/>
              <w:bidi w:val="0"/>
              <w:adjustRightInd/>
              <w:snapToGrid/>
              <w:spacing w:line="260" w:lineRule="exact"/>
              <w:ind w:firstLine="404" w:firstLineChars="200"/>
              <w:jc w:val="left"/>
              <w:textAlignment w:val="auto"/>
              <w:rPr>
                <w:rFonts w:hint="eastAsia" w:ascii="宋体" w:hAnsi="宋体" w:eastAsia="宋体" w:cs="宋体"/>
                <w:kern w:val="32"/>
                <w:sz w:val="21"/>
                <w:szCs w:val="21"/>
              </w:rPr>
            </w:pPr>
            <w:r>
              <w:rPr>
                <w:rFonts w:hint="eastAsia" w:ascii="宋体" w:hAnsi="宋体" w:eastAsia="宋体" w:cs="宋体"/>
                <w:kern w:val="32"/>
                <w:sz w:val="21"/>
                <w:szCs w:val="21"/>
                <w:lang w:val="en-US" w:eastAsia="zh-CN"/>
              </w:rPr>
              <w:t>1.</w:t>
            </w:r>
            <w:r>
              <w:rPr>
                <w:rFonts w:hint="eastAsia" w:ascii="宋体" w:hAnsi="宋体" w:eastAsia="宋体" w:cs="宋体"/>
                <w:kern w:val="32"/>
                <w:sz w:val="21"/>
                <w:szCs w:val="21"/>
              </w:rPr>
              <w:t>居住区以及商业中心、公园等人员密集场所；</w:t>
            </w:r>
          </w:p>
          <w:p>
            <w:pPr>
              <w:keepNext w:val="0"/>
              <w:keepLines w:val="0"/>
              <w:pageBreakBefore w:val="0"/>
              <w:widowControl w:val="0"/>
              <w:kinsoku/>
              <w:wordWrap/>
              <w:overflowPunct/>
              <w:topLinePunct w:val="0"/>
              <w:autoSpaceDE/>
              <w:autoSpaceDN/>
              <w:bidi w:val="0"/>
              <w:adjustRightInd/>
              <w:snapToGrid/>
              <w:spacing w:line="260" w:lineRule="exact"/>
              <w:ind w:firstLine="404" w:firstLineChars="200"/>
              <w:jc w:val="left"/>
              <w:textAlignment w:val="auto"/>
              <w:rPr>
                <w:rFonts w:hint="eastAsia" w:ascii="宋体" w:hAnsi="宋体" w:eastAsia="宋体" w:cs="宋体"/>
                <w:kern w:val="32"/>
                <w:sz w:val="21"/>
                <w:szCs w:val="21"/>
              </w:rPr>
            </w:pPr>
            <w:r>
              <w:rPr>
                <w:rFonts w:hint="eastAsia" w:ascii="宋体" w:hAnsi="宋体" w:eastAsia="宋体" w:cs="宋体"/>
                <w:kern w:val="32"/>
                <w:sz w:val="21"/>
                <w:szCs w:val="21"/>
              </w:rPr>
              <w:t>2</w:t>
            </w:r>
            <w:r>
              <w:rPr>
                <w:rFonts w:hint="eastAsia" w:ascii="宋体" w:hAnsi="宋体" w:eastAsia="宋体" w:cs="宋体"/>
                <w:kern w:val="32"/>
                <w:sz w:val="21"/>
                <w:szCs w:val="21"/>
                <w:lang w:val="en-US" w:eastAsia="zh-CN"/>
              </w:rPr>
              <w:t>.</w:t>
            </w:r>
            <w:r>
              <w:rPr>
                <w:rFonts w:hint="eastAsia" w:ascii="宋体" w:hAnsi="宋体" w:eastAsia="宋体" w:cs="宋体"/>
                <w:kern w:val="32"/>
                <w:sz w:val="21"/>
                <w:szCs w:val="21"/>
              </w:rPr>
              <w:t>学校、医院、影剧院、体育场（馆）等公共设施；</w:t>
            </w:r>
          </w:p>
          <w:p>
            <w:pPr>
              <w:keepNext w:val="0"/>
              <w:keepLines w:val="0"/>
              <w:pageBreakBefore w:val="0"/>
              <w:widowControl w:val="0"/>
              <w:kinsoku/>
              <w:wordWrap/>
              <w:overflowPunct/>
              <w:topLinePunct w:val="0"/>
              <w:autoSpaceDE/>
              <w:autoSpaceDN/>
              <w:bidi w:val="0"/>
              <w:adjustRightInd/>
              <w:snapToGrid/>
              <w:spacing w:line="260" w:lineRule="exact"/>
              <w:ind w:firstLine="404" w:firstLineChars="200"/>
              <w:jc w:val="left"/>
              <w:textAlignment w:val="auto"/>
              <w:rPr>
                <w:rFonts w:hint="eastAsia" w:ascii="宋体" w:hAnsi="宋体" w:eastAsia="宋体" w:cs="宋体"/>
                <w:kern w:val="32"/>
                <w:sz w:val="21"/>
                <w:szCs w:val="21"/>
              </w:rPr>
            </w:pPr>
            <w:r>
              <w:rPr>
                <w:rFonts w:hint="eastAsia" w:ascii="宋体" w:hAnsi="宋体" w:eastAsia="宋体" w:cs="宋体"/>
                <w:kern w:val="32"/>
                <w:sz w:val="21"/>
                <w:szCs w:val="21"/>
              </w:rPr>
              <w:t>3</w:t>
            </w:r>
            <w:r>
              <w:rPr>
                <w:rFonts w:hint="eastAsia" w:ascii="宋体" w:hAnsi="宋体" w:eastAsia="宋体" w:cs="宋体"/>
                <w:kern w:val="32"/>
                <w:sz w:val="21"/>
                <w:szCs w:val="21"/>
                <w:lang w:val="en-US" w:eastAsia="zh-CN"/>
              </w:rPr>
              <w:t>.</w:t>
            </w:r>
            <w:r>
              <w:rPr>
                <w:rFonts w:hint="eastAsia" w:ascii="宋体" w:hAnsi="宋体" w:eastAsia="宋体" w:cs="宋体"/>
                <w:kern w:val="32"/>
                <w:sz w:val="21"/>
                <w:szCs w:val="21"/>
              </w:rPr>
              <w:t>饮用水源、水厂以及水源保护区；</w:t>
            </w:r>
          </w:p>
          <w:p>
            <w:pPr>
              <w:keepNext w:val="0"/>
              <w:keepLines w:val="0"/>
              <w:pageBreakBefore w:val="0"/>
              <w:widowControl w:val="0"/>
              <w:kinsoku/>
              <w:wordWrap/>
              <w:overflowPunct/>
              <w:topLinePunct w:val="0"/>
              <w:autoSpaceDE/>
              <w:autoSpaceDN/>
              <w:bidi w:val="0"/>
              <w:adjustRightInd/>
              <w:snapToGrid/>
              <w:spacing w:line="260" w:lineRule="exact"/>
              <w:ind w:firstLine="404" w:firstLineChars="200"/>
              <w:jc w:val="left"/>
              <w:textAlignment w:val="auto"/>
              <w:rPr>
                <w:rFonts w:hint="eastAsia" w:ascii="宋体" w:hAnsi="宋体" w:eastAsia="宋体" w:cs="宋体"/>
                <w:kern w:val="32"/>
                <w:sz w:val="21"/>
                <w:szCs w:val="21"/>
              </w:rPr>
            </w:pPr>
            <w:r>
              <w:rPr>
                <w:rFonts w:hint="eastAsia" w:ascii="宋体" w:hAnsi="宋体" w:eastAsia="宋体" w:cs="宋体"/>
                <w:kern w:val="32"/>
                <w:sz w:val="21"/>
                <w:szCs w:val="21"/>
              </w:rPr>
              <w:t>4</w:t>
            </w:r>
            <w:r>
              <w:rPr>
                <w:rFonts w:hint="eastAsia" w:ascii="宋体" w:hAnsi="宋体" w:eastAsia="宋体" w:cs="宋体"/>
                <w:kern w:val="32"/>
                <w:sz w:val="21"/>
                <w:szCs w:val="21"/>
                <w:lang w:val="en-US" w:eastAsia="zh-CN"/>
              </w:rPr>
              <w:t>.</w:t>
            </w:r>
            <w:r>
              <w:rPr>
                <w:rFonts w:hint="eastAsia" w:ascii="宋体" w:hAnsi="宋体" w:eastAsia="宋体" w:cs="宋体"/>
                <w:kern w:val="32"/>
                <w:sz w:val="21"/>
                <w:szCs w:val="21"/>
              </w:rPr>
              <w:t>车站、码头（依法经许可从事危险化学品装卸作业的除外）、机场以及通信干线、通信枢纽、铁路线路、道路交通干线、水路交通干线、地铁风亭以及地铁站出入口；</w:t>
            </w:r>
          </w:p>
          <w:p>
            <w:pPr>
              <w:keepNext w:val="0"/>
              <w:keepLines w:val="0"/>
              <w:pageBreakBefore w:val="0"/>
              <w:widowControl w:val="0"/>
              <w:kinsoku/>
              <w:wordWrap/>
              <w:overflowPunct/>
              <w:topLinePunct w:val="0"/>
              <w:autoSpaceDE/>
              <w:autoSpaceDN/>
              <w:bidi w:val="0"/>
              <w:adjustRightInd/>
              <w:snapToGrid/>
              <w:spacing w:line="260" w:lineRule="exact"/>
              <w:ind w:firstLine="404" w:firstLineChars="200"/>
              <w:jc w:val="left"/>
              <w:textAlignment w:val="auto"/>
              <w:rPr>
                <w:rFonts w:hint="eastAsia" w:ascii="宋体" w:hAnsi="宋体" w:eastAsia="宋体" w:cs="宋体"/>
                <w:kern w:val="32"/>
                <w:sz w:val="21"/>
                <w:szCs w:val="21"/>
              </w:rPr>
            </w:pPr>
            <w:r>
              <w:rPr>
                <w:rFonts w:hint="eastAsia" w:ascii="宋体" w:hAnsi="宋体" w:eastAsia="宋体" w:cs="宋体"/>
                <w:kern w:val="32"/>
                <w:sz w:val="21"/>
                <w:szCs w:val="21"/>
              </w:rPr>
              <w:t>5</w:t>
            </w:r>
            <w:r>
              <w:rPr>
                <w:rFonts w:hint="eastAsia" w:ascii="宋体" w:hAnsi="宋体" w:eastAsia="宋体" w:cs="宋体"/>
                <w:kern w:val="32"/>
                <w:sz w:val="21"/>
                <w:szCs w:val="21"/>
                <w:lang w:val="en-US" w:eastAsia="zh-CN"/>
              </w:rPr>
              <w:t>.</w:t>
            </w:r>
            <w:r>
              <w:rPr>
                <w:rFonts w:hint="eastAsia" w:ascii="宋体" w:hAnsi="宋体" w:eastAsia="宋体" w:cs="宋体"/>
                <w:kern w:val="32"/>
                <w:sz w:val="21"/>
                <w:szCs w:val="21"/>
              </w:rPr>
              <w:t>基本农田保护区、基本草原、畜禽遗传资源保护区、畜禽规模化养殖场（养殖小区）、渔业水域以及种子、种畜禽、水产苗种生产基地；</w:t>
            </w:r>
          </w:p>
          <w:p>
            <w:pPr>
              <w:keepNext w:val="0"/>
              <w:keepLines w:val="0"/>
              <w:pageBreakBefore w:val="0"/>
              <w:widowControl w:val="0"/>
              <w:kinsoku/>
              <w:wordWrap/>
              <w:overflowPunct/>
              <w:topLinePunct w:val="0"/>
              <w:autoSpaceDE/>
              <w:autoSpaceDN/>
              <w:bidi w:val="0"/>
              <w:adjustRightInd/>
              <w:snapToGrid/>
              <w:spacing w:line="260" w:lineRule="exact"/>
              <w:ind w:firstLine="404" w:firstLineChars="200"/>
              <w:jc w:val="left"/>
              <w:textAlignment w:val="auto"/>
              <w:rPr>
                <w:rFonts w:hint="eastAsia" w:ascii="宋体" w:hAnsi="宋体" w:eastAsia="宋体" w:cs="宋体"/>
                <w:kern w:val="32"/>
                <w:sz w:val="21"/>
                <w:szCs w:val="21"/>
              </w:rPr>
            </w:pPr>
            <w:r>
              <w:rPr>
                <w:rFonts w:hint="eastAsia" w:ascii="宋体" w:hAnsi="宋体" w:eastAsia="宋体" w:cs="宋体"/>
                <w:kern w:val="32"/>
                <w:sz w:val="21"/>
                <w:szCs w:val="21"/>
              </w:rPr>
              <w:t>6</w:t>
            </w:r>
            <w:r>
              <w:rPr>
                <w:rFonts w:hint="eastAsia" w:ascii="宋体" w:hAnsi="宋体" w:eastAsia="宋体" w:cs="宋体"/>
                <w:kern w:val="32"/>
                <w:sz w:val="21"/>
                <w:szCs w:val="21"/>
                <w:lang w:val="en-US" w:eastAsia="zh-CN"/>
              </w:rPr>
              <w:t>.</w:t>
            </w:r>
            <w:r>
              <w:rPr>
                <w:rFonts w:hint="eastAsia" w:ascii="宋体" w:hAnsi="宋体" w:eastAsia="宋体" w:cs="宋体"/>
                <w:kern w:val="32"/>
                <w:sz w:val="21"/>
                <w:szCs w:val="21"/>
              </w:rPr>
              <w:t>河流、湖泊、风景名胜区、自然保护区；</w:t>
            </w:r>
          </w:p>
          <w:p>
            <w:pPr>
              <w:keepNext w:val="0"/>
              <w:keepLines w:val="0"/>
              <w:pageBreakBefore w:val="0"/>
              <w:widowControl w:val="0"/>
              <w:kinsoku/>
              <w:wordWrap/>
              <w:overflowPunct/>
              <w:topLinePunct w:val="0"/>
              <w:autoSpaceDE/>
              <w:autoSpaceDN/>
              <w:bidi w:val="0"/>
              <w:adjustRightInd/>
              <w:snapToGrid/>
              <w:spacing w:line="260" w:lineRule="exact"/>
              <w:ind w:firstLine="404" w:firstLineChars="200"/>
              <w:jc w:val="left"/>
              <w:textAlignment w:val="auto"/>
              <w:rPr>
                <w:rFonts w:hint="eastAsia" w:ascii="宋体" w:hAnsi="宋体" w:eastAsia="宋体" w:cs="宋体"/>
                <w:kern w:val="32"/>
                <w:sz w:val="21"/>
                <w:szCs w:val="21"/>
              </w:rPr>
            </w:pPr>
            <w:r>
              <w:rPr>
                <w:rFonts w:hint="eastAsia" w:ascii="宋体" w:hAnsi="宋体" w:eastAsia="宋体" w:cs="宋体"/>
                <w:kern w:val="32"/>
                <w:sz w:val="21"/>
                <w:szCs w:val="21"/>
              </w:rPr>
              <w:t>7</w:t>
            </w:r>
            <w:r>
              <w:rPr>
                <w:rFonts w:hint="eastAsia" w:ascii="宋体" w:hAnsi="宋体" w:eastAsia="宋体" w:cs="宋体"/>
                <w:kern w:val="32"/>
                <w:sz w:val="21"/>
                <w:szCs w:val="21"/>
                <w:lang w:val="en-US" w:eastAsia="zh-CN"/>
              </w:rPr>
              <w:t>.</w:t>
            </w:r>
            <w:r>
              <w:rPr>
                <w:rFonts w:hint="eastAsia" w:ascii="宋体" w:hAnsi="宋体" w:eastAsia="宋体" w:cs="宋体"/>
                <w:kern w:val="32"/>
                <w:sz w:val="21"/>
                <w:szCs w:val="21"/>
              </w:rPr>
              <w:t>军事禁区、军事管理区；</w:t>
            </w:r>
          </w:p>
          <w:p>
            <w:pPr>
              <w:keepNext w:val="0"/>
              <w:keepLines w:val="0"/>
              <w:pageBreakBefore w:val="0"/>
              <w:widowControl w:val="0"/>
              <w:kinsoku/>
              <w:wordWrap/>
              <w:overflowPunct/>
              <w:topLinePunct w:val="0"/>
              <w:autoSpaceDE/>
              <w:autoSpaceDN/>
              <w:bidi w:val="0"/>
              <w:adjustRightInd/>
              <w:snapToGrid/>
              <w:spacing w:line="260" w:lineRule="exact"/>
              <w:ind w:firstLine="404" w:firstLineChars="200"/>
              <w:jc w:val="left"/>
              <w:textAlignment w:val="auto"/>
              <w:rPr>
                <w:rFonts w:hint="eastAsia" w:ascii="宋体" w:hAnsi="宋体" w:eastAsia="宋体" w:cs="宋体"/>
                <w:kern w:val="32"/>
                <w:sz w:val="21"/>
                <w:szCs w:val="21"/>
              </w:rPr>
            </w:pPr>
            <w:r>
              <w:rPr>
                <w:rFonts w:hint="eastAsia" w:ascii="宋体" w:hAnsi="宋体" w:eastAsia="宋体" w:cs="宋体"/>
                <w:kern w:val="32"/>
                <w:sz w:val="21"/>
                <w:szCs w:val="21"/>
              </w:rPr>
              <w:t>　8</w:t>
            </w:r>
            <w:r>
              <w:rPr>
                <w:rFonts w:hint="eastAsia" w:ascii="宋体" w:hAnsi="宋体" w:eastAsia="宋体" w:cs="宋体"/>
                <w:kern w:val="32"/>
                <w:sz w:val="21"/>
                <w:szCs w:val="21"/>
                <w:lang w:val="en-US" w:eastAsia="zh-CN"/>
              </w:rPr>
              <w:t>.</w:t>
            </w:r>
            <w:r>
              <w:rPr>
                <w:rFonts w:hint="eastAsia" w:ascii="宋体" w:hAnsi="宋体" w:eastAsia="宋体" w:cs="宋体"/>
                <w:kern w:val="32"/>
                <w:sz w:val="21"/>
                <w:szCs w:val="21"/>
              </w:rPr>
              <w:t>法律、行政法规规定的其他场所、设施、区域</w:t>
            </w:r>
          </w:p>
        </w:tc>
        <w:tc>
          <w:tcPr>
            <w:tcW w:w="3091" w:type="dxa"/>
            <w:vAlign w:val="center"/>
          </w:tcPr>
          <w:p>
            <w:pPr>
              <w:spacing w:line="260" w:lineRule="exact"/>
              <w:jc w:val="left"/>
              <w:rPr>
                <w:rFonts w:hint="eastAsia" w:ascii="宋体" w:hAnsi="宋体" w:eastAsia="宋体" w:cs="宋体"/>
                <w:kern w:val="32"/>
                <w:sz w:val="21"/>
                <w:szCs w:val="21"/>
              </w:rPr>
            </w:pPr>
            <w:r>
              <w:rPr>
                <w:rFonts w:hint="eastAsia" w:ascii="宋体" w:hAnsi="宋体" w:eastAsia="宋体" w:cs="宋体"/>
                <w:kern w:val="32"/>
                <w:sz w:val="21"/>
                <w:szCs w:val="21"/>
              </w:rPr>
              <w:t>《危险化学品安全管理条例》第十九条规定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11" w:hRule="atLeast"/>
        </w:trPr>
        <w:tc>
          <w:tcPr>
            <w:tcW w:w="470" w:type="dxa"/>
            <w:vAlign w:val="center"/>
          </w:tcPr>
          <w:p>
            <w:pPr>
              <w:spacing w:line="260" w:lineRule="exact"/>
              <w:jc w:val="center"/>
              <w:rPr>
                <w:rFonts w:hint="eastAsia" w:ascii="宋体" w:hAnsi="宋体" w:eastAsia="宋体" w:cs="宋体"/>
                <w:kern w:val="32"/>
                <w:sz w:val="21"/>
                <w:szCs w:val="21"/>
                <w:lang w:eastAsia="zh-CN"/>
              </w:rPr>
            </w:pPr>
            <w:r>
              <w:rPr>
                <w:rFonts w:hint="eastAsia" w:ascii="宋体" w:hAnsi="宋体" w:eastAsia="宋体" w:cs="宋体"/>
                <w:kern w:val="32"/>
                <w:sz w:val="21"/>
                <w:szCs w:val="21"/>
              </w:rPr>
              <w:t>1</w:t>
            </w:r>
            <w:r>
              <w:rPr>
                <w:rFonts w:hint="eastAsia" w:ascii="宋体" w:hAnsi="宋体" w:eastAsia="宋体" w:cs="宋体"/>
                <w:kern w:val="32"/>
                <w:sz w:val="21"/>
                <w:szCs w:val="21"/>
                <w:lang w:val="en-US" w:eastAsia="zh-CN"/>
              </w:rPr>
              <w:t>5</w:t>
            </w:r>
          </w:p>
        </w:tc>
        <w:tc>
          <w:tcPr>
            <w:tcW w:w="5787" w:type="dxa"/>
            <w:vAlign w:val="center"/>
          </w:tcPr>
          <w:p>
            <w:pPr>
              <w:keepNext w:val="0"/>
              <w:keepLines w:val="0"/>
              <w:pageBreakBefore w:val="0"/>
              <w:kinsoku/>
              <w:wordWrap/>
              <w:overflowPunct/>
              <w:topLinePunct w:val="0"/>
              <w:autoSpaceDE/>
              <w:autoSpaceDN/>
              <w:bidi w:val="0"/>
              <w:spacing w:line="260" w:lineRule="exact"/>
              <w:ind w:firstLine="404" w:firstLineChars="200"/>
              <w:jc w:val="left"/>
              <w:textAlignment w:val="auto"/>
              <w:rPr>
                <w:rFonts w:hint="eastAsia" w:ascii="宋体" w:hAnsi="宋体" w:eastAsia="宋体" w:cs="宋体"/>
                <w:strike/>
                <w:dstrike w:val="0"/>
                <w:kern w:val="32"/>
                <w:sz w:val="21"/>
                <w:szCs w:val="21"/>
                <w:highlight w:val="yellow"/>
              </w:rPr>
            </w:pPr>
            <w:r>
              <w:rPr>
                <w:rFonts w:hint="eastAsia" w:ascii="宋体" w:hAnsi="宋体" w:eastAsia="宋体" w:cs="宋体"/>
                <w:sz w:val="21"/>
                <w:szCs w:val="21"/>
              </w:rPr>
              <w:t>在永久基本农田集中区域，不得新建可能造成土壤污染的建设项目</w:t>
            </w:r>
          </w:p>
        </w:tc>
        <w:tc>
          <w:tcPr>
            <w:tcW w:w="3091" w:type="dxa"/>
            <w:vAlign w:val="center"/>
          </w:tcPr>
          <w:p>
            <w:pPr>
              <w:spacing w:line="260" w:lineRule="exact"/>
              <w:jc w:val="left"/>
              <w:rPr>
                <w:rFonts w:hint="eastAsia" w:ascii="宋体" w:hAnsi="宋体" w:eastAsia="宋体" w:cs="宋体"/>
                <w:strike/>
                <w:dstrike w:val="0"/>
                <w:kern w:val="32"/>
                <w:sz w:val="21"/>
                <w:szCs w:val="21"/>
                <w:highlight w:val="yellow"/>
              </w:rPr>
            </w:pPr>
            <w:r>
              <w:rPr>
                <w:rFonts w:hint="eastAsia" w:ascii="宋体" w:hAnsi="宋体" w:eastAsia="宋体" w:cs="宋体"/>
                <w:sz w:val="21"/>
                <w:szCs w:val="21"/>
              </w:rPr>
              <w:t>《中华人民共和国土壤污染防治法》(2018年颁布)第五十条第二款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0" w:hRule="atLeast"/>
        </w:trPr>
        <w:tc>
          <w:tcPr>
            <w:tcW w:w="470" w:type="dxa"/>
            <w:vAlign w:val="center"/>
          </w:tcPr>
          <w:p>
            <w:pPr>
              <w:spacing w:line="260" w:lineRule="exact"/>
              <w:jc w:val="center"/>
              <w:rPr>
                <w:rFonts w:hint="eastAsia" w:ascii="宋体" w:hAnsi="宋体" w:eastAsia="宋体" w:cs="宋体"/>
                <w:kern w:val="32"/>
                <w:sz w:val="21"/>
                <w:szCs w:val="21"/>
                <w:lang w:val="en-US" w:eastAsia="zh-CN"/>
              </w:rPr>
            </w:pPr>
            <w:r>
              <w:rPr>
                <w:rFonts w:hint="eastAsia" w:ascii="宋体" w:hAnsi="宋体" w:eastAsia="宋体" w:cs="宋体"/>
                <w:kern w:val="32"/>
                <w:sz w:val="21"/>
                <w:szCs w:val="21"/>
                <w:lang w:val="en-US" w:eastAsia="zh-CN"/>
              </w:rPr>
              <w:t>16</w:t>
            </w:r>
          </w:p>
        </w:tc>
        <w:tc>
          <w:tcPr>
            <w:tcW w:w="5787" w:type="dxa"/>
            <w:vAlign w:val="center"/>
          </w:tcPr>
          <w:p>
            <w:pPr>
              <w:keepNext w:val="0"/>
              <w:keepLines w:val="0"/>
              <w:pageBreakBefore w:val="0"/>
              <w:kinsoku/>
              <w:wordWrap/>
              <w:overflowPunct/>
              <w:topLinePunct w:val="0"/>
              <w:autoSpaceDE/>
              <w:autoSpaceDN/>
              <w:bidi w:val="0"/>
              <w:spacing w:line="260" w:lineRule="exact"/>
              <w:ind w:firstLine="404" w:firstLineChars="200"/>
              <w:jc w:val="left"/>
              <w:textAlignment w:val="auto"/>
              <w:rPr>
                <w:rFonts w:hint="eastAsia" w:ascii="宋体" w:hAnsi="宋体" w:eastAsia="宋体" w:cs="宋体"/>
                <w:kern w:val="32"/>
                <w:sz w:val="21"/>
                <w:szCs w:val="21"/>
              </w:rPr>
            </w:pPr>
            <w:r>
              <w:rPr>
                <w:rFonts w:hint="eastAsia" w:ascii="宋体" w:hAnsi="宋体" w:eastAsia="宋体" w:cs="宋体"/>
                <w:kern w:val="32"/>
                <w:sz w:val="21"/>
                <w:szCs w:val="21"/>
              </w:rPr>
              <w:t>核定为文物保护单位的属于国家所有的纪念建筑物或者古建筑，除可以建立博物馆、保管所或者辟为参观游览场所外，作其他用途的，市、县级文物保护单位应当经核定公布该文物保护单位的人民政府文物行政部门征得上一级文物行政部门同意后，报核定公布该文物保护单位的人民政府批准；省级文物保护单位应当经核定公布该文物保护单位的省级人民政府的文物行政部门审核同意后，报该省级人民政府批准；全国重点文物保护单位作其他用途的，应当由省、自治区、直辖市人民政府报国务院批准。国有未核定为文物保护单位的不可移动文物作其他用途的，应当报告县级人民政府文物行政部门</w:t>
            </w:r>
          </w:p>
        </w:tc>
        <w:tc>
          <w:tcPr>
            <w:tcW w:w="3091" w:type="dxa"/>
            <w:vAlign w:val="center"/>
          </w:tcPr>
          <w:p>
            <w:pPr>
              <w:spacing w:line="260" w:lineRule="exact"/>
              <w:jc w:val="left"/>
              <w:rPr>
                <w:rFonts w:hint="eastAsia" w:ascii="宋体" w:hAnsi="宋体" w:eastAsia="宋体" w:cs="宋体"/>
                <w:kern w:val="32"/>
                <w:sz w:val="21"/>
                <w:szCs w:val="21"/>
              </w:rPr>
            </w:pPr>
            <w:r>
              <w:rPr>
                <w:rFonts w:hint="eastAsia" w:ascii="宋体" w:hAnsi="宋体" w:eastAsia="宋体" w:cs="宋体"/>
                <w:kern w:val="32"/>
                <w:sz w:val="21"/>
                <w:szCs w:val="21"/>
              </w:rPr>
              <w:t>《中华人民共和国文物保护法》第二十三条——第二十六条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71" w:hRule="atLeast"/>
        </w:trPr>
        <w:tc>
          <w:tcPr>
            <w:tcW w:w="470" w:type="dxa"/>
            <w:vAlign w:val="center"/>
          </w:tcPr>
          <w:p>
            <w:pPr>
              <w:spacing w:line="260" w:lineRule="exact"/>
              <w:jc w:val="center"/>
              <w:rPr>
                <w:rFonts w:hint="eastAsia" w:ascii="宋体" w:hAnsi="宋体" w:eastAsia="宋体" w:cs="宋体"/>
                <w:kern w:val="32"/>
                <w:sz w:val="21"/>
                <w:szCs w:val="21"/>
                <w:lang w:val="en-US" w:eastAsia="zh-CN"/>
              </w:rPr>
            </w:pPr>
            <w:r>
              <w:rPr>
                <w:rFonts w:hint="eastAsia" w:ascii="宋体" w:hAnsi="宋体" w:eastAsia="宋体" w:cs="宋体"/>
                <w:kern w:val="32"/>
                <w:sz w:val="21"/>
                <w:szCs w:val="21"/>
                <w:lang w:val="en-US" w:eastAsia="zh-CN"/>
              </w:rPr>
              <w:t>17</w:t>
            </w:r>
          </w:p>
        </w:tc>
        <w:tc>
          <w:tcPr>
            <w:tcW w:w="5787" w:type="dxa"/>
            <w:vAlign w:val="center"/>
          </w:tcPr>
          <w:p>
            <w:pPr>
              <w:keepNext w:val="0"/>
              <w:keepLines w:val="0"/>
              <w:pageBreakBefore w:val="0"/>
              <w:kinsoku/>
              <w:wordWrap/>
              <w:overflowPunct/>
              <w:topLinePunct w:val="0"/>
              <w:autoSpaceDE/>
              <w:autoSpaceDN/>
              <w:bidi w:val="0"/>
              <w:spacing w:line="260" w:lineRule="exact"/>
              <w:ind w:firstLine="404" w:firstLineChars="200"/>
              <w:jc w:val="left"/>
              <w:textAlignment w:val="auto"/>
              <w:rPr>
                <w:rFonts w:hint="eastAsia" w:ascii="宋体" w:hAnsi="宋体" w:eastAsia="宋体" w:cs="宋体"/>
                <w:kern w:val="32"/>
                <w:sz w:val="21"/>
                <w:szCs w:val="21"/>
              </w:rPr>
            </w:pPr>
            <w:r>
              <w:rPr>
                <w:rFonts w:hint="eastAsia" w:ascii="宋体" w:hAnsi="宋体" w:eastAsia="宋体" w:cs="宋体"/>
                <w:kern w:val="32"/>
                <w:sz w:val="21"/>
                <w:szCs w:val="21"/>
              </w:rPr>
              <w:t>在集中供热管网覆盖地区，禁止新建、扩建分散燃煤供热锅炉</w:t>
            </w:r>
          </w:p>
        </w:tc>
        <w:tc>
          <w:tcPr>
            <w:tcW w:w="3091" w:type="dxa"/>
            <w:vAlign w:val="center"/>
          </w:tcPr>
          <w:p>
            <w:pPr>
              <w:spacing w:line="260" w:lineRule="exact"/>
              <w:jc w:val="left"/>
              <w:rPr>
                <w:rFonts w:hint="eastAsia" w:ascii="宋体" w:hAnsi="宋体" w:eastAsia="宋体" w:cs="宋体"/>
                <w:kern w:val="32"/>
                <w:sz w:val="21"/>
                <w:szCs w:val="21"/>
              </w:rPr>
            </w:pPr>
            <w:r>
              <w:rPr>
                <w:rFonts w:hint="eastAsia" w:ascii="宋体" w:hAnsi="宋体" w:eastAsia="宋体" w:cs="宋体"/>
                <w:kern w:val="32"/>
                <w:sz w:val="21"/>
                <w:szCs w:val="21"/>
              </w:rPr>
              <w:t>《中华人民共和国大气污染防治法》(2018修正)第三十九条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71" w:hRule="atLeast"/>
        </w:trPr>
        <w:tc>
          <w:tcPr>
            <w:tcW w:w="470" w:type="dxa"/>
            <w:vAlign w:val="center"/>
          </w:tcPr>
          <w:p>
            <w:pPr>
              <w:spacing w:line="260" w:lineRule="exact"/>
              <w:jc w:val="center"/>
              <w:rPr>
                <w:rFonts w:hint="eastAsia" w:ascii="宋体" w:hAnsi="宋体" w:eastAsia="宋体" w:cs="宋体"/>
                <w:kern w:val="32"/>
                <w:sz w:val="21"/>
                <w:szCs w:val="21"/>
                <w:lang w:val="en-US" w:eastAsia="zh-CN"/>
              </w:rPr>
            </w:pPr>
            <w:r>
              <w:rPr>
                <w:rFonts w:hint="eastAsia" w:ascii="宋体" w:hAnsi="宋体" w:eastAsia="宋体" w:cs="宋体"/>
                <w:kern w:val="32"/>
                <w:sz w:val="21"/>
                <w:szCs w:val="21"/>
                <w:lang w:val="en-US" w:eastAsia="zh-CN"/>
              </w:rPr>
              <w:t>18</w:t>
            </w:r>
          </w:p>
        </w:tc>
        <w:tc>
          <w:tcPr>
            <w:tcW w:w="5787" w:type="dxa"/>
            <w:vAlign w:val="center"/>
          </w:tcPr>
          <w:p>
            <w:pPr>
              <w:keepNext w:val="0"/>
              <w:keepLines w:val="0"/>
              <w:pageBreakBefore w:val="0"/>
              <w:kinsoku/>
              <w:wordWrap/>
              <w:overflowPunct/>
              <w:topLinePunct w:val="0"/>
              <w:autoSpaceDE/>
              <w:autoSpaceDN/>
              <w:bidi w:val="0"/>
              <w:adjustRightInd w:val="0"/>
              <w:snapToGrid w:val="0"/>
              <w:spacing w:line="260" w:lineRule="exact"/>
              <w:ind w:firstLine="404" w:firstLineChars="200"/>
              <w:textAlignment w:val="auto"/>
              <w:rPr>
                <w:rFonts w:hint="eastAsia" w:ascii="宋体" w:hAnsi="宋体" w:eastAsia="宋体" w:cs="宋体"/>
                <w:kern w:val="32"/>
                <w:sz w:val="21"/>
                <w:szCs w:val="21"/>
              </w:rPr>
            </w:pPr>
            <w:r>
              <w:rPr>
                <w:rFonts w:hint="eastAsia" w:ascii="宋体" w:hAnsi="宋体" w:eastAsia="宋体" w:cs="宋体"/>
                <w:color w:val="000000"/>
                <w:sz w:val="21"/>
                <w:szCs w:val="21"/>
                <w:shd w:val="clear" w:color="auto" w:fill="FFFFFF"/>
              </w:rPr>
              <w:t>在生态保护红线区域、永久基本农田集中区域和其他需要特别保护的区域内，禁止建设工业固体废物、危险废物集中贮存、利用、处置的设施、场所和生活垃圾填埋场</w:t>
            </w:r>
          </w:p>
        </w:tc>
        <w:tc>
          <w:tcPr>
            <w:tcW w:w="3091" w:type="dxa"/>
            <w:vAlign w:val="center"/>
          </w:tcPr>
          <w:p>
            <w:pPr>
              <w:spacing w:line="260" w:lineRule="exact"/>
              <w:jc w:val="left"/>
              <w:rPr>
                <w:rFonts w:hint="eastAsia" w:ascii="宋体" w:hAnsi="宋体" w:eastAsia="宋体" w:cs="宋体"/>
                <w:kern w:val="32"/>
                <w:sz w:val="21"/>
                <w:szCs w:val="21"/>
              </w:rPr>
            </w:pPr>
            <w:r>
              <w:rPr>
                <w:rStyle w:val="9"/>
                <w:rFonts w:hint="eastAsia" w:ascii="宋体" w:hAnsi="宋体" w:eastAsia="宋体" w:cs="宋体"/>
                <w:b w:val="0"/>
                <w:sz w:val="21"/>
                <w:szCs w:val="21"/>
                <w:shd w:val="clear" w:color="auto" w:fill="FFFFFF"/>
              </w:rPr>
              <w:t>《中华人民共和国固体废物污染环境防治法》（2020年修正）</w:t>
            </w:r>
            <w:r>
              <w:rPr>
                <w:rFonts w:hint="eastAsia" w:ascii="宋体" w:hAnsi="宋体" w:eastAsia="宋体" w:cs="宋体"/>
                <w:sz w:val="21"/>
                <w:szCs w:val="21"/>
                <w:shd w:val="clear" w:color="auto" w:fill="FFFFFF"/>
              </w:rPr>
              <w:t>第二十一条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0" w:hRule="atLeast"/>
        </w:trPr>
        <w:tc>
          <w:tcPr>
            <w:tcW w:w="470" w:type="dxa"/>
            <w:vAlign w:val="center"/>
          </w:tcPr>
          <w:p>
            <w:pPr>
              <w:spacing w:line="260" w:lineRule="exact"/>
              <w:jc w:val="center"/>
              <w:rPr>
                <w:rFonts w:hint="eastAsia" w:ascii="宋体" w:hAnsi="宋体" w:eastAsia="宋体" w:cs="宋体"/>
                <w:kern w:val="32"/>
                <w:sz w:val="21"/>
                <w:szCs w:val="21"/>
                <w:lang w:val="en-US" w:eastAsia="zh-CN"/>
              </w:rPr>
            </w:pPr>
            <w:r>
              <w:rPr>
                <w:rFonts w:hint="eastAsia" w:ascii="宋体" w:hAnsi="宋体" w:eastAsia="宋体" w:cs="宋体"/>
                <w:kern w:val="32"/>
                <w:sz w:val="21"/>
                <w:szCs w:val="21"/>
                <w:lang w:val="en-US" w:eastAsia="zh-CN"/>
              </w:rPr>
              <w:t>19</w:t>
            </w:r>
          </w:p>
        </w:tc>
        <w:tc>
          <w:tcPr>
            <w:tcW w:w="5787" w:type="dxa"/>
            <w:vAlign w:val="center"/>
          </w:tcPr>
          <w:p>
            <w:pPr>
              <w:keepNext w:val="0"/>
              <w:keepLines w:val="0"/>
              <w:pageBreakBefore w:val="0"/>
              <w:kinsoku/>
              <w:wordWrap/>
              <w:overflowPunct/>
              <w:topLinePunct w:val="0"/>
              <w:autoSpaceDE/>
              <w:autoSpaceDN/>
              <w:bidi w:val="0"/>
              <w:adjustRightInd w:val="0"/>
              <w:snapToGrid w:val="0"/>
              <w:spacing w:line="260" w:lineRule="exact"/>
              <w:ind w:firstLine="404" w:firstLineChars="200"/>
              <w:textAlignment w:val="auto"/>
              <w:rPr>
                <w:rFonts w:hint="eastAsia" w:ascii="宋体" w:hAnsi="宋体" w:eastAsia="宋体" w:cs="宋体"/>
                <w:color w:val="000000"/>
                <w:sz w:val="21"/>
                <w:szCs w:val="21"/>
                <w:shd w:val="clear" w:color="auto" w:fill="FFFFFF"/>
              </w:rPr>
            </w:pPr>
            <w:r>
              <w:rPr>
                <w:rFonts w:hint="eastAsia" w:ascii="宋体" w:hAnsi="宋体" w:eastAsia="宋体" w:cs="宋体"/>
                <w:sz w:val="21"/>
                <w:szCs w:val="21"/>
              </w:rPr>
              <w:t>禁止在饮用水水源一级保护区内新建、改建、扩建与供水设施和保护水源无关的建设项目</w:t>
            </w:r>
          </w:p>
        </w:tc>
        <w:tc>
          <w:tcPr>
            <w:tcW w:w="3091" w:type="dxa"/>
            <w:vAlign w:val="center"/>
          </w:tcPr>
          <w:p>
            <w:pPr>
              <w:pStyle w:val="6"/>
              <w:adjustRightInd w:val="0"/>
              <w:snapToGrid w:val="0"/>
              <w:spacing w:beforeAutospacing="0" w:afterAutospacing="0" w:line="260" w:lineRule="exact"/>
              <w:jc w:val="left"/>
              <w:rPr>
                <w:rStyle w:val="9"/>
                <w:rFonts w:hint="eastAsia" w:ascii="宋体" w:hAnsi="宋体" w:eastAsia="宋体" w:cs="宋体"/>
                <w:b w:val="0"/>
                <w:sz w:val="21"/>
                <w:szCs w:val="21"/>
                <w:shd w:val="clear" w:color="auto" w:fill="FFFFFF"/>
              </w:rPr>
            </w:pPr>
            <w:r>
              <w:rPr>
                <w:rFonts w:hint="eastAsia" w:ascii="宋体" w:hAnsi="宋体" w:eastAsia="宋体" w:cs="宋体"/>
                <w:sz w:val="21"/>
                <w:szCs w:val="21"/>
              </w:rPr>
              <w:t>《中华人民共和国水污染防治法》（2017年修正）第六十五条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6" w:hRule="atLeast"/>
        </w:trPr>
        <w:tc>
          <w:tcPr>
            <w:tcW w:w="470" w:type="dxa"/>
            <w:vAlign w:val="center"/>
          </w:tcPr>
          <w:p>
            <w:pPr>
              <w:spacing w:line="260" w:lineRule="exact"/>
              <w:jc w:val="center"/>
              <w:rPr>
                <w:rFonts w:hint="eastAsia" w:ascii="宋体" w:hAnsi="宋体" w:eastAsia="宋体" w:cs="宋体"/>
                <w:kern w:val="32"/>
                <w:sz w:val="21"/>
                <w:szCs w:val="21"/>
                <w:lang w:val="en-US" w:eastAsia="zh-CN"/>
              </w:rPr>
            </w:pPr>
            <w:r>
              <w:rPr>
                <w:rFonts w:hint="eastAsia" w:ascii="宋体" w:hAnsi="宋体" w:eastAsia="宋体" w:cs="宋体"/>
                <w:kern w:val="32"/>
                <w:sz w:val="21"/>
                <w:szCs w:val="21"/>
                <w:lang w:val="en-US" w:eastAsia="zh-CN"/>
              </w:rPr>
              <w:t>20</w:t>
            </w:r>
          </w:p>
        </w:tc>
        <w:tc>
          <w:tcPr>
            <w:tcW w:w="5787" w:type="dxa"/>
            <w:vAlign w:val="center"/>
          </w:tcPr>
          <w:p>
            <w:pPr>
              <w:keepNext w:val="0"/>
              <w:keepLines w:val="0"/>
              <w:pageBreakBefore w:val="0"/>
              <w:kinsoku/>
              <w:wordWrap/>
              <w:overflowPunct/>
              <w:topLinePunct w:val="0"/>
              <w:autoSpaceDE/>
              <w:autoSpaceDN/>
              <w:bidi w:val="0"/>
              <w:adjustRightInd w:val="0"/>
              <w:snapToGrid w:val="0"/>
              <w:spacing w:line="260" w:lineRule="exact"/>
              <w:ind w:firstLine="404" w:firstLineChars="200"/>
              <w:textAlignment w:val="auto"/>
              <w:rPr>
                <w:rFonts w:hint="eastAsia" w:ascii="宋体" w:hAnsi="宋体" w:eastAsia="宋体" w:cs="宋体"/>
                <w:sz w:val="21"/>
                <w:szCs w:val="21"/>
              </w:rPr>
            </w:pPr>
            <w:r>
              <w:rPr>
                <w:rFonts w:hint="eastAsia" w:ascii="宋体" w:hAnsi="宋体" w:eastAsia="宋体" w:cs="宋体"/>
                <w:sz w:val="21"/>
                <w:szCs w:val="21"/>
              </w:rPr>
              <w:t>禁止在饮用水水源二级保护区内新建、改建、扩建排放污染物的建设项目</w:t>
            </w:r>
          </w:p>
        </w:tc>
        <w:tc>
          <w:tcPr>
            <w:tcW w:w="3091" w:type="dxa"/>
            <w:vAlign w:val="center"/>
          </w:tcPr>
          <w:p>
            <w:pPr>
              <w:adjustRightInd w:val="0"/>
              <w:snapToGrid w:val="0"/>
              <w:spacing w:line="260" w:lineRule="exact"/>
              <w:ind w:firstLine="404" w:firstLineChars="200"/>
              <w:jc w:val="left"/>
              <w:rPr>
                <w:rFonts w:hint="eastAsia" w:ascii="宋体" w:hAnsi="宋体" w:eastAsia="宋体" w:cs="宋体"/>
                <w:sz w:val="21"/>
                <w:szCs w:val="21"/>
              </w:rPr>
            </w:pPr>
            <w:r>
              <w:rPr>
                <w:rFonts w:hint="eastAsia" w:ascii="宋体" w:hAnsi="宋体" w:eastAsia="宋体" w:cs="宋体"/>
                <w:sz w:val="21"/>
                <w:szCs w:val="21"/>
              </w:rPr>
              <w:t>《中华人民共和国水污染防治法》（2017年修正）第六十六条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1" w:hRule="atLeast"/>
        </w:trPr>
        <w:tc>
          <w:tcPr>
            <w:tcW w:w="470" w:type="dxa"/>
            <w:vAlign w:val="center"/>
          </w:tcPr>
          <w:p>
            <w:pPr>
              <w:spacing w:line="260" w:lineRule="exact"/>
              <w:jc w:val="center"/>
              <w:rPr>
                <w:rFonts w:hint="eastAsia" w:ascii="宋体" w:hAnsi="宋体" w:eastAsia="宋体" w:cs="宋体"/>
                <w:kern w:val="32"/>
                <w:sz w:val="21"/>
                <w:szCs w:val="21"/>
                <w:lang w:val="en-US" w:eastAsia="zh-CN"/>
              </w:rPr>
            </w:pPr>
            <w:r>
              <w:rPr>
                <w:rFonts w:hint="eastAsia" w:ascii="宋体" w:hAnsi="宋体" w:eastAsia="宋体" w:cs="宋体"/>
                <w:kern w:val="32"/>
                <w:sz w:val="21"/>
                <w:szCs w:val="21"/>
                <w:lang w:val="en-US" w:eastAsia="zh-CN"/>
              </w:rPr>
              <w:t>21</w:t>
            </w:r>
          </w:p>
        </w:tc>
        <w:tc>
          <w:tcPr>
            <w:tcW w:w="5787" w:type="dxa"/>
            <w:vAlign w:val="center"/>
          </w:tcPr>
          <w:p>
            <w:pPr>
              <w:pStyle w:val="6"/>
              <w:keepNext w:val="0"/>
              <w:keepLines w:val="0"/>
              <w:pageBreakBefore w:val="0"/>
              <w:kinsoku/>
              <w:wordWrap/>
              <w:overflowPunct/>
              <w:topLinePunct w:val="0"/>
              <w:autoSpaceDE/>
              <w:autoSpaceDN/>
              <w:bidi w:val="0"/>
              <w:adjustRightInd w:val="0"/>
              <w:snapToGrid w:val="0"/>
              <w:spacing w:beforeAutospacing="0" w:afterAutospacing="0" w:line="400" w:lineRule="exact"/>
              <w:ind w:firstLine="404"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禁止在居民区和学校、医院、疗养院、养老院等单位周边新建、改建、扩建可能造成土壤污染的建设项目</w:t>
            </w:r>
          </w:p>
        </w:tc>
        <w:tc>
          <w:tcPr>
            <w:tcW w:w="3091" w:type="dxa"/>
            <w:vAlign w:val="center"/>
          </w:tcPr>
          <w:p>
            <w:pPr>
              <w:adjustRightInd w:val="0"/>
              <w:snapToGrid w:val="0"/>
              <w:spacing w:line="400" w:lineRule="exact"/>
              <w:jc w:val="left"/>
              <w:rPr>
                <w:rFonts w:hint="eastAsia" w:ascii="宋体" w:hAnsi="宋体" w:eastAsia="宋体" w:cs="宋体"/>
                <w:sz w:val="21"/>
                <w:szCs w:val="21"/>
              </w:rPr>
            </w:pPr>
            <w:r>
              <w:rPr>
                <w:rFonts w:hint="eastAsia" w:ascii="宋体" w:hAnsi="宋体" w:eastAsia="宋体" w:cs="宋体"/>
                <w:sz w:val="21"/>
                <w:szCs w:val="21"/>
              </w:rPr>
              <w:t>《中华人民共和国土壤污染防治法》(2018年颁布)第三十二条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43" w:hRule="atLeast"/>
        </w:trPr>
        <w:tc>
          <w:tcPr>
            <w:tcW w:w="470" w:type="dxa"/>
            <w:vAlign w:val="center"/>
          </w:tcPr>
          <w:p>
            <w:pPr>
              <w:spacing w:line="260" w:lineRule="exact"/>
              <w:jc w:val="center"/>
              <w:rPr>
                <w:rFonts w:hint="eastAsia" w:ascii="宋体" w:hAnsi="宋体" w:eastAsia="宋体" w:cs="宋体"/>
                <w:kern w:val="32"/>
                <w:sz w:val="21"/>
                <w:szCs w:val="21"/>
                <w:lang w:val="en-US" w:eastAsia="zh-CN"/>
              </w:rPr>
            </w:pPr>
            <w:r>
              <w:rPr>
                <w:rFonts w:hint="eastAsia" w:ascii="宋体" w:hAnsi="宋体" w:eastAsia="宋体" w:cs="宋体"/>
                <w:kern w:val="32"/>
                <w:sz w:val="21"/>
                <w:szCs w:val="21"/>
                <w:lang w:val="en-US" w:eastAsia="zh-CN"/>
              </w:rPr>
              <w:t>22</w:t>
            </w:r>
          </w:p>
        </w:tc>
        <w:tc>
          <w:tcPr>
            <w:tcW w:w="5787" w:type="dxa"/>
            <w:vAlign w:val="center"/>
          </w:tcPr>
          <w:p>
            <w:pPr>
              <w:pStyle w:val="6"/>
              <w:adjustRightInd w:val="0"/>
              <w:snapToGrid w:val="0"/>
              <w:spacing w:beforeAutospacing="0" w:afterAutospacing="0" w:line="400" w:lineRule="exact"/>
              <w:ind w:firstLine="404" w:firstLineChars="200"/>
              <w:jc w:val="left"/>
              <w:rPr>
                <w:rFonts w:hint="eastAsia" w:ascii="宋体" w:hAnsi="宋体" w:eastAsia="宋体" w:cs="宋体"/>
                <w:sz w:val="21"/>
                <w:szCs w:val="21"/>
              </w:rPr>
            </w:pPr>
            <w:r>
              <w:rPr>
                <w:rFonts w:hint="eastAsia" w:ascii="宋体" w:hAnsi="宋体" w:eastAsia="宋体" w:cs="宋体"/>
                <w:sz w:val="21"/>
                <w:szCs w:val="21"/>
              </w:rPr>
              <w:t>未达到土壤污染风险评估报告确定的风险管控、修复目标的建设用地地块，禁止开工建设任何与风险管控、修复无关的项目</w:t>
            </w:r>
          </w:p>
        </w:tc>
        <w:tc>
          <w:tcPr>
            <w:tcW w:w="3091" w:type="dxa"/>
            <w:vAlign w:val="center"/>
          </w:tcPr>
          <w:p>
            <w:pPr>
              <w:pStyle w:val="6"/>
              <w:adjustRightInd w:val="0"/>
              <w:snapToGrid w:val="0"/>
              <w:spacing w:beforeAutospacing="0" w:afterAutospacing="0" w:line="400" w:lineRule="exact"/>
              <w:jc w:val="left"/>
              <w:rPr>
                <w:rFonts w:hint="eastAsia" w:ascii="宋体" w:hAnsi="宋体" w:eastAsia="宋体" w:cs="宋体"/>
                <w:sz w:val="21"/>
                <w:szCs w:val="21"/>
              </w:rPr>
            </w:pPr>
            <w:r>
              <w:rPr>
                <w:rFonts w:hint="eastAsia" w:ascii="宋体" w:hAnsi="宋体" w:eastAsia="宋体" w:cs="宋体"/>
                <w:sz w:val="21"/>
                <w:szCs w:val="21"/>
              </w:rPr>
              <w:t>《中华人民共和国土壤污染防治法》(2018年颁布)第六十六条第三款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2" w:hRule="atLeast"/>
        </w:trPr>
        <w:tc>
          <w:tcPr>
            <w:tcW w:w="470" w:type="dxa"/>
            <w:vAlign w:val="center"/>
          </w:tcPr>
          <w:p>
            <w:pPr>
              <w:spacing w:line="260" w:lineRule="exact"/>
              <w:jc w:val="center"/>
              <w:rPr>
                <w:rFonts w:hint="eastAsia" w:ascii="宋体" w:hAnsi="宋体" w:eastAsia="宋体" w:cs="宋体"/>
                <w:kern w:val="32"/>
                <w:sz w:val="21"/>
                <w:szCs w:val="21"/>
                <w:lang w:val="en-US" w:eastAsia="zh-CN"/>
              </w:rPr>
            </w:pPr>
            <w:r>
              <w:rPr>
                <w:rFonts w:hint="eastAsia" w:ascii="宋体" w:hAnsi="宋体" w:eastAsia="宋体" w:cs="宋体"/>
                <w:kern w:val="32"/>
                <w:sz w:val="21"/>
                <w:szCs w:val="21"/>
                <w:lang w:val="en-US" w:eastAsia="zh-CN"/>
              </w:rPr>
              <w:t>23</w:t>
            </w:r>
          </w:p>
        </w:tc>
        <w:tc>
          <w:tcPr>
            <w:tcW w:w="5787" w:type="dxa"/>
            <w:vAlign w:val="center"/>
          </w:tcPr>
          <w:p>
            <w:pPr>
              <w:pStyle w:val="6"/>
              <w:adjustRightInd w:val="0"/>
              <w:snapToGrid w:val="0"/>
              <w:spacing w:beforeAutospacing="0" w:afterAutospacing="0" w:line="400" w:lineRule="exact"/>
              <w:ind w:firstLine="404" w:firstLineChars="200"/>
              <w:jc w:val="left"/>
              <w:rPr>
                <w:rFonts w:hint="eastAsia" w:ascii="宋体" w:hAnsi="宋体" w:eastAsia="宋体" w:cs="宋体"/>
                <w:sz w:val="21"/>
                <w:szCs w:val="21"/>
              </w:rPr>
            </w:pPr>
            <w:r>
              <w:rPr>
                <w:rFonts w:hint="eastAsia" w:ascii="宋体" w:hAnsi="宋体" w:eastAsia="宋体" w:cs="宋体"/>
                <w:kern w:val="32"/>
                <w:sz w:val="21"/>
                <w:szCs w:val="21"/>
              </w:rPr>
              <w:t>其他不符合法律、法规、规章规定的生产经营场所</w:t>
            </w:r>
          </w:p>
        </w:tc>
        <w:tc>
          <w:tcPr>
            <w:tcW w:w="3091" w:type="dxa"/>
            <w:vAlign w:val="center"/>
          </w:tcPr>
          <w:p>
            <w:pPr>
              <w:pStyle w:val="6"/>
              <w:adjustRightInd w:val="0"/>
              <w:snapToGrid w:val="0"/>
              <w:spacing w:beforeAutospacing="0" w:afterAutospacing="0" w:line="400" w:lineRule="exact"/>
              <w:jc w:val="left"/>
              <w:rPr>
                <w:rFonts w:hint="eastAsia" w:ascii="宋体" w:hAnsi="宋体" w:eastAsia="宋体" w:cs="宋体"/>
                <w:sz w:val="21"/>
                <w:szCs w:val="21"/>
              </w:rPr>
            </w:pPr>
          </w:p>
        </w:tc>
      </w:tr>
    </w:tbl>
    <w:p>
      <w:pPr>
        <w:spacing w:line="240" w:lineRule="exact"/>
        <w:jc w:val="center"/>
        <w:rPr>
          <w:rFonts w:hint="eastAsia" w:ascii="仿宋_GB2312" w:hAnsi="仿宋_GB2312" w:eastAsia="仿宋_GB2312" w:cs="仿宋_GB2312"/>
          <w:kern w:val="32"/>
          <w:sz w:val="21"/>
          <w:szCs w:val="21"/>
        </w:rPr>
      </w:pPr>
    </w:p>
    <w:p>
      <w:r>
        <w:rPr>
          <w:rFonts w:hint="eastAsia" w:ascii="仿宋_GB2312" w:hAnsi="仿宋_GB2312" w:eastAsia="仿宋_GB2312" w:cs="仿宋_GB2312"/>
          <w:kern w:val="32"/>
        </w:rPr>
        <w:t>备注：本</w:t>
      </w:r>
      <w:r>
        <w:rPr>
          <w:rFonts w:hint="eastAsia" w:ascii="仿宋_GB2312" w:hAnsi="仿宋_GB2312" w:eastAsia="仿宋_GB2312" w:cs="仿宋_GB2312"/>
          <w:spacing w:val="-6"/>
          <w:kern w:val="32"/>
        </w:rPr>
        <w:t>负面清单实行动态管理，其中内容由法律法规规定的执行部门负责解释，并依法实施监管</w:t>
      </w:r>
      <w:r>
        <w:rPr>
          <w:rFonts w:hint="eastAsia" w:ascii="仿宋_GB2312" w:hAnsi="仿宋_GB2312" w:eastAsia="仿宋_GB2312" w:cs="仿宋_GB2312"/>
          <w:kern w:val="32"/>
        </w:rPr>
        <w:t>。</w:t>
      </w:r>
    </w:p>
    <w:sectPr>
      <w:footerReference r:id="rId3" w:type="default"/>
      <w:pgSz w:w="11906" w:h="16838"/>
      <w:pgMar w:top="2098" w:right="1417" w:bottom="1587" w:left="1191" w:header="851" w:footer="1474" w:gutter="0"/>
      <w:pgNumType w:fmt="decimal" w:start="10"/>
      <w:cols w:space="720" w:num="1"/>
      <w:docGrid w:type="linesAndChars" w:linePitch="595" w:charSpace="-183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Helvetica">
    <w:altName w:val="Arial"/>
    <w:panose1 w:val="00000000000000000000"/>
    <w:charset w:val="00"/>
    <w:family w:val="auto"/>
    <w:pitch w:val="default"/>
    <w:sig w:usb0="00000000" w:usb1="00000000" w:usb2="00000000" w:usb3="00000000" w:csb0="00000000" w:csb1="00000000"/>
  </w:font>
  <w:font w:name="方正小标宋_GBK">
    <w:altName w:val="微软雅黑"/>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ind w:right="360" w:firstLine="360"/>
    </w:pPr>
    <w:r>
      <w:rPr>
        <w:sz w:val="21"/>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4"/>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10</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LNJWO7QAAAABQEAAA8AAAAAAAAAAQAgAAAAIgAAAGRycy9kb3ducmV2LnhtbFBLAQIUABQA&#10;AAAIAIdO4kBItvYn3AIAACQGAAAOAAAAAAAAAAEAIAAAAB8BAABkcnMvZTJvRG9jLnhtbFBLBQYA&#10;AAAABgAGAFkBAABtBgAAAAA=&#10;">
              <v:fill on="f" focussize="0,0"/>
              <v:stroke on="f" weight="0.5pt"/>
              <v:imagedata o:title=""/>
              <o:lock v:ext="edit" aspectratio="f"/>
              <v:textbox inset="0mm,0mm,0mm,0mm" style="mso-fit-shape-to-text:t;">
                <w:txbxContent>
                  <w:p>
                    <w:pPr>
                      <w:pStyle w:val="4"/>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10</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F2392AD"/>
    <w:multiLevelType w:val="multilevel"/>
    <w:tmpl w:val="5F2392AD"/>
    <w:lvl w:ilvl="0" w:tentative="0">
      <w:start w:val="1"/>
      <w:numFmt w:val="decimal"/>
      <w:suff w:val="nothing"/>
      <w:lvlText w:val="%1."/>
      <w:lvlJc w:val="left"/>
      <w:rPr>
        <w:rFonts w:hint="default"/>
        <w:u w:val="none"/>
      </w:rPr>
    </w:lvl>
    <w:lvl w:ilvl="1" w:tentative="0">
      <w:start w:val="1"/>
      <w:numFmt w:val="decimal"/>
      <w:lvlText w:val=""/>
      <w:lvlJc w:val="left"/>
      <w:rPr>
        <w:rFonts w:hint="default"/>
        <w:u w:val="none"/>
      </w:rPr>
    </w:lvl>
    <w:lvl w:ilvl="2" w:tentative="0">
      <w:start w:val="1"/>
      <w:numFmt w:val="decimal"/>
      <w:lvlText w:val=""/>
      <w:lvlJc w:val="left"/>
      <w:rPr>
        <w:rFonts w:hint="default"/>
        <w:u w:val="none"/>
      </w:rPr>
    </w:lvl>
    <w:lvl w:ilvl="3" w:tentative="0">
      <w:start w:val="1"/>
      <w:numFmt w:val="decimal"/>
      <w:lvlText w:val=""/>
      <w:lvlJc w:val="left"/>
      <w:rPr>
        <w:rFonts w:hint="default"/>
        <w:u w:val="none"/>
      </w:rPr>
    </w:lvl>
    <w:lvl w:ilvl="4" w:tentative="0">
      <w:start w:val="1"/>
      <w:numFmt w:val="decimal"/>
      <w:lvlText w:val=""/>
      <w:lvlJc w:val="left"/>
      <w:rPr>
        <w:rFonts w:hint="default"/>
        <w:u w:val="none"/>
      </w:rPr>
    </w:lvl>
    <w:lvl w:ilvl="5" w:tentative="0">
      <w:start w:val="1"/>
      <w:numFmt w:val="decimal"/>
      <w:lvlText w:val=""/>
      <w:lvlJc w:val="left"/>
      <w:rPr>
        <w:rFonts w:hint="default"/>
        <w:u w:val="none"/>
      </w:rPr>
    </w:lvl>
    <w:lvl w:ilvl="6" w:tentative="0">
      <w:start w:val="1"/>
      <w:numFmt w:val="decimal"/>
      <w:lvlText w:val=""/>
      <w:lvlJc w:val="left"/>
      <w:rPr>
        <w:rFonts w:hint="default"/>
        <w:u w:val="none"/>
      </w:rPr>
    </w:lvl>
    <w:lvl w:ilvl="7" w:tentative="0">
      <w:start w:val="1"/>
      <w:numFmt w:val="decimal"/>
      <w:lvlText w:val=""/>
      <w:lvlJc w:val="left"/>
      <w:rPr>
        <w:rFonts w:hint="default"/>
        <w:u w:val="none"/>
      </w:rPr>
    </w:lvl>
    <w:lvl w:ilvl="8" w:tentative="0">
      <w:start w:val="1"/>
      <w:numFmt w:val="decimal"/>
      <w:lvlText w:val=""/>
      <w:lvlJc w:val="left"/>
      <w:rPr>
        <w:rFonts w:hint="default"/>
        <w:u w:val="no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01A2E"/>
    <w:rsid w:val="00201A2E"/>
    <w:rsid w:val="05DC4F6D"/>
    <w:rsid w:val="06A14782"/>
    <w:rsid w:val="229D251B"/>
    <w:rsid w:val="33B13BDC"/>
    <w:rsid w:val="3B8B738B"/>
    <w:rsid w:val="3E666C4A"/>
    <w:rsid w:val="51E64E92"/>
    <w:rsid w:val="53BA5A5A"/>
    <w:rsid w:val="53CE2708"/>
    <w:rsid w:val="61FE26C5"/>
    <w:rsid w:val="653C6CF4"/>
    <w:rsid w:val="698F54E8"/>
    <w:rsid w:val="6FD41FBC"/>
    <w:rsid w:val="74704884"/>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1"/>
    <w:basedOn w:val="1"/>
    <w:next w:val="1"/>
    <w:qFormat/>
    <w:uiPriority w:val="0"/>
    <w:pPr>
      <w:keepNext/>
      <w:keepLines/>
      <w:spacing w:before="340" w:beforeLines="0" w:after="330" w:afterLines="0" w:line="578" w:lineRule="auto"/>
      <w:outlineLvl w:val="0"/>
    </w:pPr>
    <w:rPr>
      <w:rFonts w:ascii="Calibri" w:hAnsi="Calibri" w:eastAsia="宋体" w:cs="Times New Roman"/>
      <w:b/>
      <w:bCs/>
      <w:kern w:val="44"/>
      <w:sz w:val="44"/>
      <w:szCs w:val="44"/>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customStyle="1" w:styleId="2">
    <w:name w:val="样式 标题 1 + 首行缩进:  2 字符"/>
    <w:basedOn w:val="3"/>
    <w:qFormat/>
    <w:uiPriority w:val="0"/>
    <w:pPr>
      <w:spacing w:line="240" w:lineRule="auto"/>
      <w:ind w:firstLine="200" w:firstLineChars="200"/>
      <w:jc w:val="center"/>
    </w:pPr>
    <w:rPr>
      <w:rFonts w:eastAsia="仿宋_GB2312" w:cs="宋体"/>
      <w:b w:val="0"/>
      <w:sz w:val="32"/>
      <w:szCs w:val="20"/>
    </w:rPr>
  </w:style>
  <w:style w:type="paragraph" w:styleId="4">
    <w:name w:val="footer"/>
    <w:basedOn w:val="1"/>
    <w:qFormat/>
    <w:uiPriority w:val="0"/>
    <w:pPr>
      <w:tabs>
        <w:tab w:val="center" w:pos="4153"/>
        <w:tab w:val="right" w:pos="8306"/>
      </w:tabs>
      <w:snapToGrid w:val="0"/>
      <w:jc w:val="left"/>
    </w:pPr>
    <w:rPr>
      <w:sz w:val="18"/>
      <w:szCs w:val="18"/>
    </w:rPr>
  </w:style>
  <w:style w:type="paragraph" w:styleId="5">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Normal (Web)"/>
    <w:basedOn w:val="1"/>
    <w:qFormat/>
    <w:uiPriority w:val="0"/>
    <w:pPr>
      <w:widowControl/>
      <w:spacing w:before="15" w:beforeLines="0" w:after="100" w:afterLines="0" w:afterAutospacing="1"/>
      <w:jc w:val="left"/>
    </w:pPr>
    <w:rPr>
      <w:rFonts w:ascii="宋体" w:hAnsi="宋体"/>
      <w:color w:val="000000"/>
      <w:kern w:val="0"/>
      <w:sz w:val="24"/>
    </w:rPr>
  </w:style>
  <w:style w:type="character" w:styleId="9">
    <w:name w:val="Strong"/>
    <w:basedOn w:val="8"/>
    <w:qFormat/>
    <w:uiPriority w:val="0"/>
    <w:rPr>
      <w:b/>
      <w:bCs/>
    </w:rPr>
  </w:style>
  <w:style w:type="character" w:styleId="10">
    <w:name w:val="page number"/>
    <w:basedOn w:val="8"/>
    <w:qFormat/>
    <w:uiPriority w:val="0"/>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10</TotalTime>
  <ScaleCrop>false</ScaleCrop>
  <LinksUpToDate>false</LinksUpToDate>
  <CharactersWithSpaces>0</CharactersWithSpaces>
  <Application>WPS Office_11.1.0.11294_F1E327BC-269C-435d-A152-05C5408002CA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2020-09-21T01:52:00Z</dcterms:created>
  <dc:creator>政务服务局</dc:creator>
  <cp:lastModifiedBy>猪猪侠</cp:lastModifiedBy>
  <dcterms:modified xsi:type="dcterms:W3CDTF">2022-01-25T08:11:40Z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2052-11.1.0.11294</vt:lpwstr>
  </property>
  <property fmtid="{D5CDD505-2E9C-101B-9397-08002B2CF9AE}" pid="3" name="ICV">
    <vt:lpwstr>A3EDE2DEF36F4046BCCD4475F1469631</vt:lpwstr>
  </property>
</Properties>
</file>