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20"/>
          <w:kern w:val="0"/>
          <w:sz w:val="32"/>
          <w:szCs w:val="32"/>
          <w:u w:val="none"/>
          <w:lang w:val="en-US" w:eastAsia="zh-CN"/>
        </w:rPr>
        <w:t>9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绥芬河市小区消防安全公约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为加强消防安全管理，保护公共财产和广大业主生命财产的安全，根据《中华人民共和国消防法》和《黑龙江省消防条例》等有关消防规定，特制定本公约。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一是贯彻“预防为主，防消结合”方针。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按照《中华人民共和国消防法》、《黑龙江消防条例》和《消防安全责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任制实施办法》规定，业主、物业使用人、业主委员会对共用的疏散通道、安全出口、建筑消防设施和消防车通道进行维护管理，开展消防宣传教育和防火巡查，及时消除火灾隐患。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二是开展“三查三清”工作。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业主、物业使用人、业主委员会立即对本小区开展检查工作，具体包括：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三查</w:t>
      </w:r>
      <w:r>
        <w:rPr>
          <w:rFonts w:hint="eastAsia" w:ascii="楷体_GB2312" w:hAnsi="楷体_GB2312" w:eastAsia="楷体_GB2312" w:cs="楷体_GB2312"/>
          <w:sz w:val="32"/>
          <w:szCs w:val="32"/>
        </w:rPr>
        <w:t>主要内容：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（一）检查消防车通道、疏散通道、安全出口是否畅通；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（二）检查室内消火栓、疏散指示标志、应急照明、灭火器是否完好有效；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（三）检查初起火灾扑救准备工作是否到位；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三清的主要内容：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（一）清理居（村）民楼院疏散楼梯、走廊、前室等公共区域可燃杂物；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（二）清理居（村）民楼院电动自行车等交通工具违规存放充电问题；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（三）清理电缆井、管道井等竖井防火封堵不严以及堆放可燃杂物问题。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三是消防通道划线。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建筑的产权单位或管理使用单位、住宅区的物业服务企业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按照统一标准对物业管理区域内消防车通道逐一划线、标名、立牌，确保畅通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对占用、堵塞、封闭消防车通道拒不改正的，或者给予罚款、拘留等行政处罚的，或者多次违法停车造成严重影响的单位和个人，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按照关于印发《全市打通“生命通道”集中治理行动工作方案》的通知（绥安办发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）要求，将被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纳入消防安全严重失信行为，记入企业信用档案和个人诚信记录，推送至全国信用信息共享平台，实施联合惩戒措施。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四是开展巡察工作。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服务企业、居民小区管理单位要加强防火检查和夜间巡查，按照“电瓶车一律不停放楼道间等区域，电瓶车一律不过夜充电的“两个一律”要求，组织人员开展巡查，对违规停放的电动车进行搬离，及时发现和制止违规充电行为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本公约自发布之日起执行。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17" w:bottom="1134" w:left="1474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2020-07-13T01:19:00Z</dcterms:created>
  <dc:creator>wb</dc:creator>
  <cp:lastModifiedBy>君莫笑</cp:lastModifiedBy>
  <cp:lastPrinted>2020-09-27T08:48:02Z</cp:lastPrinted>
  <dcterms:modified xsi:type="dcterms:W3CDTF">2020-09-27T08:48:43Z</dcterms:modified>
  <dc:title>附件9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