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wordWrap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 w:eastAsia="zh-CN"/>
        </w:rPr>
        <w:t>附件1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after="0" w:line="560" w:lineRule="exact"/>
        <w:ind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u w:val="none"/>
          <w:lang w:val="en-US" w:eastAsia="zh-CN"/>
        </w:rPr>
        <w:t>绥芬河市小区综合治理工作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after="0" w:line="560" w:lineRule="exact"/>
        <w:ind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u w:val="none"/>
          <w:lang w:val="en-US" w:eastAsia="zh-CN"/>
        </w:rPr>
        <w:t>组织机构及工作职责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after="0" w:line="560" w:lineRule="exact"/>
        <w:ind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 w:eastAsia="zh-CN"/>
        </w:rPr>
        <w:t>一、组织机构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eastAsia="zh-CN"/>
        </w:rPr>
        <w:t>成立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绥芬河市小区综合治理工作领导小组，负责全市小区综合治理工作。</w:t>
      </w:r>
    </w:p>
    <w:p>
      <w:pPr>
        <w:widowControl w:val="0"/>
        <w:adjustRightInd/>
        <w:snapToGrid w:val="0"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</w:rPr>
        <w:t>组    长：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eastAsia="zh-CN"/>
        </w:rPr>
        <w:t>宫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eastAsia="zh-CN"/>
        </w:rPr>
        <w:t>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 市委常委</w:t>
      </w:r>
    </w:p>
    <w:p>
      <w:pPr>
        <w:widowControl w:val="0"/>
        <w:adjustRightInd/>
        <w:snapToGrid w:val="0"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</w:rPr>
        <w:t>组    员：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市住房和城乡建设局、绥芬河镇、阜宁镇、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市委组织部、市委宣传部、教育局、公安局、消防大队、城市管理综合行政执法局、市应急管理局、发展和改革局、财政局、司法局、法院、市场监督管理局及其他相关单位。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绥芬河市小区综合治理工作领导小组办公室设在市住建局，负责开展绥芬河市小区综合治理工作领导小组的日常工作。</w:t>
      </w:r>
    </w:p>
    <w:p>
      <w:pPr>
        <w:widowControl w:val="0"/>
        <w:numPr>
          <w:ilvl w:val="0"/>
          <w:numId w:val="1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 w:eastAsia="zh-CN"/>
        </w:rPr>
        <w:t>工作职责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（一）市住房和城乡建设局</w:t>
      </w:r>
    </w:p>
    <w:p>
      <w:pPr>
        <w:widowControl w:val="0"/>
        <w:numPr>
          <w:ilvl w:val="0"/>
          <w:numId w:val="2"/>
        </w:numPr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住建局负责组织建立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治理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联席会议制度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落实小区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治理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联席会议日常工作机构、人员和经费保障措施。每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季度组织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召集一次成员单位会议，研究部署和解决阶段性工作问题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，及时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牵头协调解决小区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治理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中跨部门、跨领域问题。</w:t>
      </w:r>
    </w:p>
    <w:p>
      <w:pPr>
        <w:widowControl w:val="0"/>
        <w:numPr>
          <w:ilvl w:val="0"/>
          <w:numId w:val="2"/>
        </w:numPr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负责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彻执行物业管理相关政策和制度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3.负责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指导、监督住宅专项维修资金的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收缴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、管理和使用；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4.负责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组织对辖区内业主委员会开展培训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5.负责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指导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两镇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实施与物业管理相关工作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6.牵头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负责对弃管楼改造推进情况进行监督，实行监理质量责任追责制，强化竣工验收，确保改造工程的质量过硬，为群众安居生活提供有力保障。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7.负责畅通物业服务、报修、投诉渠道，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明确居民投诉受理流程，支持和保障居民的合理诉求。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加大宣传和引导的力度，推动物业公司进驻弃管小区服务。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（二）两镇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1.负责组织、协调、指导业主大会成立和业主委员会选举换届；指导、监督业主大会、业主委员会依法履职；引导业主大会、业主委员会规范运作。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2.负责指导居民委员会、村民委员会开展具体工作。建立党建引领下的物业管理协商共治机制；有权就业主反映的物业管理事项向进行询问。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3.负责配合领导小组办公室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推动联席会议办公室常态化运作，明确联席会议工作职责，完善日常工作制度，建立工作评价指标体系，完善督促考核和工作评价机制。镇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级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每月召集一次小区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治理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工作例会，研究解决本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辖区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治理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的具体问题。在社区建立小区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治理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协调机制，定期研究、协调解决本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社区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治理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问题。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4.负责配合住建局及相关职能部门对弃管楼改造推进情况进行监督，实行监理质量责任追责制，强化竣工验收，确保改造工程的质量过硬，为群众安居生活提供有力保障。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5.负责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对小区自治管理情况进行监督指导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，每个季度对小区自治情况自治情况进行考核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经考核，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达不到自治管理标准的，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上报至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小区综合治理工作领导小组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审核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，退出自治管理小区清单。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6.负责配合住建等职能部门对小区基础设施等进行评估鉴定，明确相关职责，并上报市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小区综合治理工作领导小组办公室备案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wordWrap w:val="0"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7.负责对安全隐患的排查，在突发墙皮脱落、房盖掉落、院墙塌方、陷落等紧急情况时，能够立即上报至职能部门，启动应急维修，快速处理险情，避免人员伤亡。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8.负责指导监督辖区内物业管理项目的移交和接管；指导、协调物业服务人依法履行义务；统筹协调、监督管理辖区内物业管理活动。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加大宣传和引导的力度，推动物业公司进驻弃管小区服务。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大力弘扬社会道德规范，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鼓励市民签写《文明诚信市民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承诺书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研究出台小区社区居民公约、微信群公约等，对个别居民的不当言行进行约谈劝导。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10.负责设立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镇、社区失信行为名单，建立居民诚信机制，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建立社区居民信用信息管理档案，记录居民诚信失信信息，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失信行为记入个人征信系统，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两镇社区出具的证明等材料可注明居民个人征信情况。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11.建立镇、社区、规划建设、房产交易、城管执法、公安、消防、质量技监及公共信用信息管理等部门机构的信息共享机制。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（三）市财政局</w:t>
      </w:r>
    </w:p>
    <w:p>
      <w:pPr>
        <w:widowControl w:val="0"/>
        <w:numPr>
          <w:ilvl w:val="0"/>
          <w:numId w:val="0"/>
        </w:numPr>
        <w:wordWrap w:val="0"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1.加大安排老旧小区改造资金支持力度，加强小区综合治理工作资金保障，提供财政支持。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设立老旧小区改造专项扶持资金，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用于以弃管楼整治为重点的房屋设施改造，持续改善居住环境和管理服务水平。</w:t>
      </w:r>
    </w:p>
    <w:p>
      <w:pPr>
        <w:widowControl w:val="0"/>
        <w:numPr>
          <w:ilvl w:val="0"/>
          <w:numId w:val="0"/>
        </w:numPr>
        <w:wordWrap w:val="0"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2.设立应急维修专项资金。在突发墙皮脱落、房盖掉落、院墙塌方、陷落等紧急情况时，能够立即启动应急维修，快速处理险情，避免人员伤亡。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（四）市委宣传部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负责组织电视台、报社等宣传职能部门进行宣传。</w:t>
      </w:r>
    </w:p>
    <w:p>
      <w:pPr>
        <w:widowControl w:val="0"/>
        <w:numPr>
          <w:ilvl w:val="0"/>
          <w:numId w:val="3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对普遍运用小区活动的微信等自媒体，加强管控。</w:t>
      </w:r>
    </w:p>
    <w:p>
      <w:pPr>
        <w:widowControl w:val="0"/>
        <w:numPr>
          <w:ilvl w:val="0"/>
          <w:numId w:val="3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通过电视、微信、微博等线上方式全力培养居民购买服务意识。</w:t>
      </w:r>
    </w:p>
    <w:p>
      <w:pPr>
        <w:widowControl w:val="0"/>
        <w:numPr>
          <w:ilvl w:val="0"/>
          <w:numId w:val="3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对小区管理知识进行科普，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让居民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理解享有物业公司提供服务的相关权利和自身应履行的义务，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树立知法、懂法、遵法、用法意识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（五）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eastAsia="zh-CN"/>
        </w:rPr>
        <w:t>市司法局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1.负责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</w:rPr>
        <w:t>建立健全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eastAsia="zh-CN"/>
        </w:rPr>
        <w:t>本市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</w:rPr>
        <w:t>人民调解、行业调解、行政调解、司法调解构成的多元纠纷解决机制，化解物业管理纠纷。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负责指导物业服务纠纷人民调解工作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</w:rPr>
        <w:t>业主、物业使用人、物业服务人因物业管理事项需要法律咨询的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eastAsia="zh-CN"/>
        </w:rPr>
        <w:t>，提供法律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</w:rPr>
        <w:t>咨询；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eastAsia="zh-CN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</w:rPr>
        <w:t>符合法律援助条件的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eastAsia="zh-CN"/>
        </w:rPr>
        <w:t>提供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</w:rPr>
        <w:t>法律援助。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（六）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市法院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对于拒绝缴纳物业费的居民和单位，支持物业企业以合法程序催告，直至提出诉讼或申请仲裁。针对欠缴物业费诉讼，法院要开辟绿色通道，做到快审、快判、快结，达到震慑效果。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（七）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市场监督管理局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负责监管小区内物业行业市场行为，对物业服务收费等进行监督管理，并负责侵害消费者合法权益、不正当竞争、格式合同、广告、电梯等特种设备安全运行等的监督管理。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（八）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市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城市管理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综合行政执法局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负责对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小区内私搭乱建、侵占公共空间和资源、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社会生活噪声超标、违法违规建设、小区内部私搭乱建、损害绿地等的监督管理及查处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（九）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市发展和改革局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负责老旧小区改造等项目申报工作，争取老旧小区改造资金。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（十）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市公安局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1.负责治安、技防、车辆停放及居民室内噪声扰民等的监督管理。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2.派出所负责小区内属公安机关管辖范围内的案件查处，维护小区治安稳定。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（十一）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val="en-US" w:eastAsia="zh-CN"/>
        </w:rPr>
        <w:t>市消防大队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负责小区消防安全工作，加大对小区消防通道占用的监管力度。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（十二）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市生态环境局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负责污水、烟尘、废气超标排放等的监督管理。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（十三）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市卫生健康局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负责供水卫生、防疫等的监督管理。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（十四）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val="en-US" w:eastAsia="zh-CN"/>
        </w:rPr>
        <w:t>市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人力资源和社会保障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局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负责物业服务企业劳动法律法规履行情况等的监督管理。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（十五）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val="en-US" w:eastAsia="zh-CN"/>
        </w:rPr>
        <w:t>市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供水行政主管部门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 xml:space="preserve">负责供水设施建设及供水设备运行等的监督管理; 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（十六）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val="en-US" w:eastAsia="zh-CN"/>
        </w:rPr>
        <w:t>市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园林管理部门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负责绿化调整的指导和监督管理。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u w:val="none"/>
          <w:lang w:val="en-US" w:eastAsia="zh-CN"/>
        </w:rPr>
        <w:t>（十七）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其他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相关主管部门</w:t>
      </w:r>
    </w:p>
    <w:p>
      <w:pPr>
        <w:widowControl w:val="0"/>
        <w:wordWrap/>
        <w:adjustRightInd/>
        <w:snapToGrid w:val="0"/>
        <w:spacing w:before="0" w:after="0" w:line="560" w:lineRule="exact"/>
        <w:ind w:left="0" w:leftChars="0" w:right="0" w:firstLine="67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按照各自职责，负责小区综合治理相关监督、管理与服务工作；督促好本单位、分管行业企业及员工及时、主动缴纳物业费，配合并支持小区综合治理其他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u w:val="none"/>
          <w:shd w:val="clear" w:color="080000" w:fill="FFFFFF"/>
          <w:lang w:val="en-US" w:eastAsia="zh-CN"/>
        </w:rPr>
        <w:t>工作。</w:t>
      </w:r>
    </w:p>
    <w:sectPr>
      <w:footerReference r:id="rId3" w:type="default"/>
      <w:pgSz w:w="11906" w:h="16838"/>
      <w:pgMar w:top="2098" w:right="1417" w:bottom="1474" w:left="1587" w:header="851" w:footer="992" w:gutter="0"/>
      <w:paperSrc/>
      <w:pgNumType w:fmt="numberInDash"/>
      <w:cols w:space="72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2049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F115A"/>
    <w:multiLevelType w:val="singleLevel"/>
    <w:tmpl w:val="5EFF115A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EFF2EB3"/>
    <w:multiLevelType w:val="singleLevel"/>
    <w:tmpl w:val="5EFF2EB3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5EFF3397"/>
    <w:multiLevelType w:val="singleLevel"/>
    <w:tmpl w:val="5EFF3397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EA241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lichongdao</cp:lastModifiedBy>
  <cp:lastPrinted>2020-08-19T01:55:00Z</cp:lastPrinted>
  <dcterms:modified xsi:type="dcterms:W3CDTF">2020-10-09T07:51:58Z</dcterms:modified>
  <dc:title>绥芬河市小区综合治理工作组织机制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