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2021年预算绩效管理工作开展情况</w:t>
      </w:r>
    </w:p>
    <w:p>
      <w:pPr>
        <w:jc w:val="center"/>
        <w:rPr>
          <w:rFonts w:hint="eastAsia" w:ascii="黑体" w:hAnsi="黑体" w:eastAsia="黑体"/>
          <w:sz w:val="36"/>
          <w:szCs w:val="36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2020年，我市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深入贯彻落实《中共黑龙江省委 黑龙江省人民政府关于全面实施预算绩效管理的实施意见》（黑发[2019]30号）文件精神，加快构建我市全方位、全过程、全覆盖的预算绩效管理体系，提高财政资源配置效率和使用效益，增强我市政府公信力和执行力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2021年，按照省级绩效预算管理的各项要求，继续做好部门整体预算绩效管理、政策和项目预算绩效管理</w:t>
      </w:r>
    </w:p>
    <w:p>
      <w:pPr>
        <w:numPr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一、打牢预算绩效管理基础</w:t>
      </w:r>
    </w:p>
    <w:p>
      <w:pPr>
        <w:numPr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继续建立健全制度建设，牢固树立预算绩效管理理念，全面搭建预算绩效管理制度体系，强化预算绩效管理信息化建设，</w:t>
      </w:r>
      <w:r>
        <w:rPr>
          <w:rFonts w:ascii="仿宋" w:hAnsi="仿宋" w:eastAsia="仿宋" w:cs="仿宋"/>
          <w:kern w:val="1"/>
          <w:sz w:val="30"/>
          <w:szCs w:val="30"/>
        </w:rPr>
        <w:t>紧紧围绕建立和推行“预算编制有目标，预算执行有监控，项目完成有评价，评价结果有反馈，反馈的结果要运用”的全过程预算绩效管理模式</w:t>
      </w:r>
      <w:r>
        <w:rPr>
          <w:rFonts w:hint="eastAsia" w:ascii="仿宋" w:hAnsi="仿宋" w:eastAsia="仿宋" w:cs="仿宋"/>
          <w:kern w:val="1"/>
          <w:sz w:val="30"/>
          <w:szCs w:val="30"/>
          <w:lang w:eastAsia="zh-CN"/>
        </w:rPr>
        <w:t>。</w:t>
      </w:r>
    </w:p>
    <w:p>
      <w:pPr>
        <w:numPr>
          <w:numId w:val="0"/>
        </w:numPr>
        <w:ind w:firstLine="600" w:firstLineChars="200"/>
        <w:rPr>
          <w:rFonts w:ascii="仿宋" w:hAnsi="仿宋" w:eastAsia="仿宋" w:cs="仿宋"/>
          <w:kern w:val="1"/>
          <w:sz w:val="30"/>
          <w:szCs w:val="30"/>
        </w:rPr>
      </w:pPr>
      <w:r>
        <w:rPr>
          <w:rFonts w:hint="eastAsia" w:ascii="仿宋" w:hAnsi="仿宋" w:eastAsia="仿宋" w:cs="仿宋"/>
          <w:kern w:val="1"/>
          <w:sz w:val="30"/>
          <w:szCs w:val="30"/>
          <w:lang w:eastAsia="zh-CN"/>
        </w:rPr>
        <w:t>二、</w:t>
      </w:r>
      <w:r>
        <w:rPr>
          <w:rFonts w:ascii="仿宋" w:hAnsi="仿宋" w:eastAsia="仿宋" w:cs="仿宋"/>
          <w:kern w:val="1"/>
          <w:sz w:val="30"/>
          <w:szCs w:val="30"/>
        </w:rPr>
        <w:t>全面组织培训，确保工作有序开展。</w:t>
      </w:r>
    </w:p>
    <w:p>
      <w:pPr>
        <w:numPr>
          <w:numId w:val="0"/>
        </w:numPr>
        <w:ind w:firstLine="600" w:firstLineChars="200"/>
        <w:rPr>
          <w:rFonts w:hint="eastAsia" w:ascii="仿宋" w:hAnsi="仿宋" w:eastAsia="仿宋" w:cs="仿宋"/>
          <w:kern w:val="1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kern w:val="1"/>
          <w:sz w:val="30"/>
          <w:szCs w:val="30"/>
        </w:rPr>
        <w:t>组织预算绩效管理相关人员培训</w:t>
      </w:r>
      <w:r>
        <w:rPr>
          <w:rFonts w:hint="eastAsia" w:ascii="仿宋" w:hAnsi="仿宋" w:eastAsia="仿宋" w:cs="仿宋"/>
          <w:kern w:val="1"/>
          <w:sz w:val="30"/>
          <w:szCs w:val="30"/>
        </w:rPr>
        <w:t>，</w:t>
      </w:r>
      <w:r>
        <w:rPr>
          <w:rFonts w:ascii="仿宋" w:hAnsi="仿宋" w:eastAsia="仿宋" w:cs="仿宋"/>
          <w:kern w:val="1"/>
          <w:sz w:val="30"/>
          <w:szCs w:val="30"/>
        </w:rPr>
        <w:t>提高预算绩效管理相关人员的业务能力和水平</w:t>
      </w:r>
      <w:r>
        <w:rPr>
          <w:rFonts w:hint="eastAsia" w:ascii="仿宋" w:hAnsi="仿宋" w:eastAsia="仿宋" w:cs="仿宋"/>
          <w:kern w:val="1"/>
          <w:sz w:val="30"/>
          <w:szCs w:val="30"/>
          <w:lang w:eastAsia="zh-CN"/>
        </w:rPr>
        <w:t>，</w:t>
      </w:r>
      <w:r>
        <w:rPr>
          <w:rFonts w:ascii="仿宋" w:hAnsi="仿宋" w:eastAsia="仿宋" w:cs="仿宋"/>
          <w:kern w:val="1"/>
          <w:sz w:val="30"/>
          <w:szCs w:val="30"/>
        </w:rPr>
        <w:t>确保预算绩效管理工作扎实、有效的推进</w:t>
      </w:r>
      <w:r>
        <w:rPr>
          <w:rFonts w:hint="eastAsia" w:ascii="仿宋" w:hAnsi="仿宋" w:eastAsia="仿宋" w:cs="仿宋"/>
          <w:kern w:val="1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kern w:val="1"/>
          <w:sz w:val="30"/>
          <w:szCs w:val="30"/>
          <w:lang w:val="en-US" w:eastAsia="zh-CN"/>
        </w:rPr>
        <w:t xml:space="preserve"> </w:t>
      </w:r>
    </w:p>
    <w:p>
      <w:pPr>
        <w:numPr>
          <w:numId w:val="0"/>
        </w:numPr>
        <w:ind w:firstLine="600" w:firstLineChars="200"/>
        <w:rPr>
          <w:rFonts w:hint="eastAsia" w:ascii="仿宋" w:hAnsi="仿宋" w:eastAsia="仿宋" w:cs="仿宋"/>
          <w:kern w:val="1"/>
          <w:sz w:val="30"/>
          <w:szCs w:val="30"/>
        </w:rPr>
      </w:pPr>
      <w:r>
        <w:rPr>
          <w:rFonts w:hint="eastAsia" w:ascii="仿宋" w:hAnsi="仿宋" w:eastAsia="仿宋" w:cs="仿宋"/>
          <w:kern w:val="1"/>
          <w:sz w:val="30"/>
          <w:szCs w:val="30"/>
          <w:lang w:eastAsia="zh-CN"/>
        </w:rPr>
        <w:t>三、</w:t>
      </w:r>
      <w:r>
        <w:rPr>
          <w:rFonts w:hint="eastAsia" w:ascii="仿宋" w:hAnsi="仿宋" w:eastAsia="仿宋" w:cs="仿宋"/>
          <w:kern w:val="1"/>
          <w:sz w:val="30"/>
          <w:szCs w:val="30"/>
        </w:rPr>
        <w:t>开展整体支出绩效评价</w:t>
      </w:r>
    </w:p>
    <w:p>
      <w:pPr>
        <w:ind w:firstLine="600"/>
        <w:rPr>
          <w:rFonts w:hint="eastAsia" w:ascii="仿宋" w:hAnsi="仿宋" w:eastAsia="仿宋" w:cs="仿宋"/>
          <w:kern w:val="1"/>
          <w:sz w:val="30"/>
          <w:szCs w:val="30"/>
        </w:rPr>
      </w:pPr>
      <w:r>
        <w:rPr>
          <w:rFonts w:hint="eastAsia" w:ascii="仿宋" w:hAnsi="仿宋" w:eastAsia="仿宋" w:cs="仿宋"/>
          <w:kern w:val="1"/>
          <w:sz w:val="30"/>
          <w:szCs w:val="30"/>
          <w:lang w:eastAsia="zh-CN"/>
        </w:rPr>
        <w:t>（一）做好</w:t>
      </w:r>
      <w:r>
        <w:rPr>
          <w:rFonts w:hint="eastAsia" w:ascii="仿宋" w:hAnsi="仿宋" w:eastAsia="仿宋" w:cs="仿宋"/>
          <w:kern w:val="1"/>
          <w:sz w:val="30"/>
          <w:szCs w:val="30"/>
        </w:rPr>
        <w:t>绩效目标</w:t>
      </w:r>
      <w:r>
        <w:rPr>
          <w:rFonts w:hint="eastAsia" w:ascii="仿宋" w:hAnsi="仿宋" w:eastAsia="仿宋" w:cs="仿宋"/>
          <w:kern w:val="1"/>
          <w:sz w:val="30"/>
          <w:szCs w:val="30"/>
          <w:lang w:eastAsia="zh-CN"/>
        </w:rPr>
        <w:t>申报工作</w:t>
      </w:r>
    </w:p>
    <w:p>
      <w:pPr>
        <w:ind w:firstLine="600"/>
        <w:rPr>
          <w:rFonts w:hint="eastAsia" w:ascii="仿宋" w:hAnsi="仿宋" w:eastAsia="仿宋" w:cs="仿宋"/>
          <w:kern w:val="1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1"/>
          <w:sz w:val="30"/>
          <w:szCs w:val="30"/>
          <w:lang w:eastAsia="zh-CN"/>
        </w:rPr>
        <w:t>在预算编制阶段，全面加强预算部门绩效目标编制指导，不但要实现绩效目标编制全覆盖，还要严格审核绩效目标编制质量，将绩效目标设置作为预算安排的前置条件。</w:t>
      </w:r>
    </w:p>
    <w:p>
      <w:pPr>
        <w:numPr>
          <w:numId w:val="0"/>
        </w:numPr>
        <w:ind w:firstLine="600" w:firstLineChars="200"/>
        <w:rPr>
          <w:rFonts w:hint="eastAsia" w:ascii="仿宋" w:hAnsi="仿宋" w:eastAsia="仿宋" w:cs="仿宋"/>
          <w:kern w:val="1"/>
          <w:sz w:val="30"/>
          <w:szCs w:val="30"/>
        </w:rPr>
      </w:pPr>
      <w:r>
        <w:rPr>
          <w:rFonts w:hint="eastAsia" w:ascii="仿宋" w:hAnsi="仿宋" w:eastAsia="仿宋" w:cs="仿宋"/>
          <w:kern w:val="1"/>
          <w:sz w:val="30"/>
          <w:szCs w:val="30"/>
          <w:lang w:val="en-US" w:eastAsia="zh-CN"/>
        </w:rPr>
        <w:t>（二）加强</w:t>
      </w:r>
      <w:r>
        <w:rPr>
          <w:rFonts w:hint="eastAsia" w:ascii="仿宋" w:hAnsi="仿宋" w:eastAsia="仿宋" w:cs="仿宋"/>
          <w:kern w:val="1"/>
          <w:sz w:val="30"/>
          <w:szCs w:val="30"/>
        </w:rPr>
        <w:t>绩效监控</w:t>
      </w:r>
    </w:p>
    <w:p>
      <w:pPr>
        <w:numPr>
          <w:numId w:val="0"/>
        </w:numPr>
        <w:ind w:firstLine="600" w:firstLineChars="200"/>
        <w:rPr>
          <w:rFonts w:hint="eastAsia" w:ascii="仿宋" w:hAnsi="仿宋" w:eastAsia="仿宋" w:cs="仿宋"/>
          <w:kern w:val="1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1"/>
          <w:sz w:val="30"/>
          <w:szCs w:val="30"/>
          <w:lang w:eastAsia="zh-CN"/>
        </w:rPr>
        <w:t>加</w:t>
      </w:r>
      <w:bookmarkStart w:id="0" w:name="_GoBack"/>
      <w:bookmarkEnd w:id="0"/>
      <w:r>
        <w:rPr>
          <w:rFonts w:hint="eastAsia" w:ascii="仿宋" w:hAnsi="仿宋" w:eastAsia="仿宋" w:cs="仿宋"/>
          <w:kern w:val="1"/>
          <w:sz w:val="30"/>
          <w:szCs w:val="30"/>
          <w:lang w:eastAsia="zh-CN"/>
        </w:rPr>
        <w:t>大项目执行进度绩效管理，切实推进预算项目进度，强化项目绩效目标实现程度管理，及时纠偏、及时整改，确保达到预期绩效目标。</w:t>
      </w:r>
    </w:p>
    <w:p>
      <w:pPr>
        <w:ind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kern w:val="1"/>
          <w:sz w:val="30"/>
          <w:szCs w:val="30"/>
          <w:lang w:eastAsia="zh-CN"/>
        </w:rPr>
        <w:t>（三）开展</w:t>
      </w:r>
      <w:r>
        <w:rPr>
          <w:rFonts w:hint="eastAsia" w:ascii="仿宋" w:hAnsi="仿宋" w:eastAsia="仿宋" w:cs="仿宋"/>
          <w:kern w:val="1"/>
          <w:sz w:val="30"/>
          <w:szCs w:val="30"/>
        </w:rPr>
        <w:t>重点评价项目</w:t>
      </w:r>
      <w:r>
        <w:rPr>
          <w:rFonts w:hint="eastAsia" w:ascii="仿宋" w:hAnsi="仿宋" w:eastAsia="仿宋" w:cs="仿宋"/>
          <w:kern w:val="1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绩效自评工作</w:t>
      </w:r>
    </w:p>
    <w:p>
      <w:pPr>
        <w:spacing w:line="620" w:lineRule="exact"/>
        <w:ind w:firstLine="600" w:firstLineChars="200"/>
        <w:rPr>
          <w:rFonts w:hint="eastAsia" w:ascii="仿宋" w:hAnsi="仿宋" w:eastAsia="仿宋" w:cs="仿宋"/>
          <w:kern w:val="1"/>
          <w:sz w:val="30"/>
          <w:szCs w:val="30"/>
        </w:rPr>
      </w:pPr>
      <w:r>
        <w:rPr>
          <w:rFonts w:hint="eastAsia" w:ascii="仿宋" w:hAnsi="仿宋" w:eastAsia="仿宋" w:cs="仿宋"/>
          <w:kern w:val="1"/>
          <w:sz w:val="30"/>
          <w:szCs w:val="30"/>
        </w:rPr>
        <w:t>通过不断加大重点评价项目</w:t>
      </w:r>
      <w:r>
        <w:rPr>
          <w:rFonts w:hint="eastAsia" w:ascii="仿宋" w:hAnsi="仿宋" w:eastAsia="仿宋" w:cs="仿宋"/>
          <w:kern w:val="1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1"/>
          <w:sz w:val="30"/>
          <w:szCs w:val="30"/>
        </w:rPr>
        <w:t>绩效自评工作的督导，分析支出项目中存在的问题，提出合理化建议。将重点评价项目</w:t>
      </w:r>
      <w:r>
        <w:rPr>
          <w:rFonts w:hint="eastAsia" w:ascii="仿宋" w:hAnsi="仿宋" w:eastAsia="仿宋" w:cs="仿宋"/>
          <w:kern w:val="1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1"/>
          <w:sz w:val="30"/>
          <w:szCs w:val="30"/>
        </w:rPr>
        <w:t>绩效自评价和再评价结果作为市级预算安排的重要因素并加以运用，对于无效的项目和专项支出要停止执行，对于低效的支出及时调整。</w:t>
      </w:r>
    </w:p>
    <w:p>
      <w:pPr>
        <w:ind w:firstLine="600" w:firstLineChars="200"/>
        <w:rPr>
          <w:rFonts w:hint="eastAsia" w:ascii="仿宋" w:hAnsi="仿宋" w:eastAsia="仿宋" w:cs="仿宋"/>
          <w:kern w:val="1"/>
          <w:sz w:val="30"/>
          <w:szCs w:val="30"/>
        </w:rPr>
      </w:pPr>
      <w:r>
        <w:rPr>
          <w:rFonts w:hint="eastAsia" w:ascii="仿宋" w:hAnsi="仿宋" w:eastAsia="仿宋" w:cs="仿宋"/>
          <w:kern w:val="1"/>
          <w:sz w:val="30"/>
          <w:szCs w:val="30"/>
          <w:lang w:val="en-US" w:eastAsia="zh-CN"/>
        </w:rPr>
        <w:t>（四）</w:t>
      </w:r>
      <w:r>
        <w:rPr>
          <w:rFonts w:hint="eastAsia" w:ascii="仿宋" w:hAnsi="仿宋" w:eastAsia="仿宋" w:cs="仿宋"/>
          <w:kern w:val="1"/>
          <w:sz w:val="30"/>
          <w:szCs w:val="30"/>
        </w:rPr>
        <w:t>预决算绩效公开工作</w:t>
      </w:r>
    </w:p>
    <w:p>
      <w:pPr>
        <w:ind w:firstLine="600" w:firstLineChars="200"/>
        <w:rPr>
          <w:rFonts w:hint="eastAsia" w:ascii="仿宋" w:hAnsi="仿宋" w:eastAsia="仿宋" w:cs="仿宋"/>
          <w:kern w:val="1"/>
          <w:sz w:val="30"/>
          <w:szCs w:val="30"/>
        </w:rPr>
      </w:pPr>
      <w:r>
        <w:rPr>
          <w:rFonts w:hint="eastAsia" w:ascii="仿宋" w:hAnsi="仿宋" w:eastAsia="仿宋" w:cs="仿宋"/>
          <w:kern w:val="1"/>
          <w:sz w:val="30"/>
          <w:szCs w:val="30"/>
        </w:rPr>
        <w:t>在规定的时间内，通过政府门户网站预决算信息统一公开平台，严格按照省财政厅相关规定公开财政预决算中绩效评价情况。</w:t>
      </w:r>
    </w:p>
    <w:p>
      <w:pPr>
        <w:numPr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numPr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numPr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18"/>
                    <w:lang w:eastAsia="zh-CN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2021-01-14T06:12:00Z</dcterms:created>
  <dc:creator>Administrator</dc:creator>
  <cp:lastModifiedBy>NTKO</cp:lastModifiedBy>
  <cp:lastPrinted>2021-01-15T01:26:00Z</cp:lastPrinted>
  <dcterms:modified xsi:type="dcterms:W3CDTF">2021-02-22T03:15:19Z</dcterms:modified>
  <dc:title>绥芬河市预算绩效管理工作开展情况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