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绥芬河市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教育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局“证照分离”改革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fldChar w:fldCharType="begin"/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instrText xml:space="preserve"> HYPERLINK "http://www.suifenhe.gov.cn/upload/files/2020/10/15135640639.xls" \t "http://www.suifenhe.gov.cn/contents/3908/_self" </w:instrTex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fldChar w:fldCharType="separate"/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和事中事后监管措施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fldChar w:fldCharType="end"/>
      </w: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事项名称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实施中等及中等以下学历教育、学前教育、自学考试助学及其他文化教育的民办学校设立、变更和终止审批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实施专科教育的高等学校和其他高等教育机构的设立、分立、合并、变更和终止审批</w:t>
      </w:r>
    </w:p>
    <w:p>
      <w:pPr>
        <w:jc w:val="left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加强事中事后监管措施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开展“双随机、一公开”监管，定期进行抽查检查，加强对民办学校的过程性指导，加大对违法违规办学行为的查处力度。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推进民办教育信用信息公示制度，将民办学校的法人登记信息、行政许可信息、年度检查信息、监督检查结果、行政处罚信息向社会公示，强化信用约束。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依法依规建立违规失信惩戒机制，并将违规办学的学校及其举办者和负责人纳入黑名单，依法向社会公开，并对其今后在民办教育领域的许可申请实施重点监管。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健全联合执法机制，通过跨部门的实时数据对接和信息共享，及时掌握和研判民办教育领域出现的新问题，积极主动予以应对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CF9"/>
    <w:multiLevelType w:val="singleLevel"/>
    <w:tmpl w:val="61A71C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6"/>
    <w:rsid w:val="774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2021-12-01T07:12:00Z</dcterms:created>
  <dc:creator>Administrator</dc:creator>
  <cp:lastModifiedBy>Administrator</cp:lastModifiedBy>
  <dcterms:modified xsi:type="dcterms:W3CDTF">2021-12-01T07:19:02Z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